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2F4CD" w14:textId="75497A77" w:rsidR="002A380C" w:rsidRPr="00BE55A7" w:rsidRDefault="001069CE" w:rsidP="00496BB8">
      <w:pPr>
        <w:jc w:val="center"/>
        <w:rPr>
          <w:b/>
          <w:bCs/>
          <w:sz w:val="24"/>
          <w:szCs w:val="24"/>
        </w:rPr>
      </w:pPr>
      <w:r>
        <w:rPr>
          <w:b/>
          <w:bCs/>
          <w:sz w:val="24"/>
          <w:szCs w:val="24"/>
        </w:rPr>
        <w:t>Document</w:t>
      </w:r>
      <w:r w:rsidR="00496BB8" w:rsidRPr="00BE55A7">
        <w:rPr>
          <w:b/>
          <w:bCs/>
          <w:sz w:val="24"/>
          <w:szCs w:val="24"/>
        </w:rPr>
        <w:t xml:space="preserve"> de position « Position paper » de la coalition </w:t>
      </w:r>
      <w:r w:rsidR="00496BB8" w:rsidRPr="00D2788F">
        <w:rPr>
          <w:b/>
          <w:bCs/>
          <w:i/>
          <w:iCs/>
          <w:sz w:val="24"/>
          <w:szCs w:val="24"/>
        </w:rPr>
        <w:t>EUregions4cohesion</w:t>
      </w:r>
      <w:r w:rsidR="00496BB8" w:rsidRPr="00BE55A7">
        <w:rPr>
          <w:b/>
          <w:bCs/>
          <w:sz w:val="24"/>
          <w:szCs w:val="24"/>
        </w:rPr>
        <w:t xml:space="preserve"> en vue des négociations interinstitutionnelles sur le CFP 2028-20234</w:t>
      </w:r>
    </w:p>
    <w:p w14:paraId="49C52980" w14:textId="2BD6011F" w:rsidR="00BE55A7" w:rsidRPr="00BE55A7" w:rsidRDefault="00496BB8" w:rsidP="00BE55A7">
      <w:pPr>
        <w:jc w:val="center"/>
        <w:rPr>
          <w:b/>
          <w:bCs/>
          <w:sz w:val="24"/>
          <w:szCs w:val="24"/>
        </w:rPr>
      </w:pPr>
      <w:r w:rsidRPr="00BE55A7">
        <w:rPr>
          <w:b/>
          <w:bCs/>
          <w:sz w:val="24"/>
          <w:szCs w:val="24"/>
        </w:rPr>
        <w:t>Investir dans les régions avec la politique de cohésion pour une Europe plus compétitive</w:t>
      </w:r>
    </w:p>
    <w:p w14:paraId="308B5452" w14:textId="21706E9F" w:rsidR="00BE55A7" w:rsidRPr="00BE55A7" w:rsidRDefault="00BE55A7" w:rsidP="00BE55A7">
      <w:pPr>
        <w:rPr>
          <w:i/>
          <w:iCs/>
        </w:rPr>
      </w:pPr>
      <w:r w:rsidRPr="00BE55A7">
        <w:rPr>
          <w:i/>
          <w:iCs/>
        </w:rPr>
        <w:t>(Traduction de courtoisie, la version anglais</w:t>
      </w:r>
      <w:r w:rsidR="004B0E9D">
        <w:rPr>
          <w:i/>
          <w:iCs/>
        </w:rPr>
        <w:t>e</w:t>
      </w:r>
      <w:r w:rsidRPr="00BE55A7">
        <w:rPr>
          <w:i/>
          <w:iCs/>
        </w:rPr>
        <w:t xml:space="preserve"> fait foi)</w:t>
      </w:r>
    </w:p>
    <w:p w14:paraId="017EB399" w14:textId="3062C7F5" w:rsidR="00496BB8" w:rsidRPr="00BE55A7" w:rsidRDefault="00496BB8" w:rsidP="00496BB8">
      <w:pPr>
        <w:rPr>
          <w:sz w:val="24"/>
          <w:szCs w:val="24"/>
        </w:rPr>
      </w:pPr>
      <w:r w:rsidRPr="00BE55A7">
        <w:rPr>
          <w:sz w:val="24"/>
          <w:szCs w:val="24"/>
        </w:rPr>
        <w:t xml:space="preserve">Bruxelles, septembre 2026 </w:t>
      </w:r>
    </w:p>
    <w:p w14:paraId="0C064E92" w14:textId="2F858B81" w:rsidR="00496BB8" w:rsidRPr="00BE55A7" w:rsidRDefault="00496BB8" w:rsidP="00496BB8">
      <w:pPr>
        <w:spacing w:after="0" w:line="240" w:lineRule="auto"/>
        <w:jc w:val="both"/>
        <w:rPr>
          <w:sz w:val="24"/>
          <w:szCs w:val="24"/>
        </w:rPr>
      </w:pPr>
      <w:r w:rsidRPr="00BE55A7">
        <w:rPr>
          <w:sz w:val="24"/>
          <w:szCs w:val="24"/>
        </w:rPr>
        <w:t>Nous, les régions, sommes au cœur de l’Europe e</w:t>
      </w:r>
      <w:bookmarkStart w:id="0" w:name="_Hlk241246164"/>
      <w:r w:rsidRPr="00BE55A7">
        <w:rPr>
          <w:sz w:val="24"/>
          <w:szCs w:val="24"/>
        </w:rPr>
        <w:t>t le « visage » de l’Europe sur le terrain. Nous avons constamment démontré notre capacité à investir des ressources de manière efficace et ciblée, en traduisant les priorités européennes en résultats concrets pour les citoyens et les territoires, en faisant progresser le projet d’intégration européenne et en contribuant à la compétitivité, à la cohésion, à l’équité sociale, à la résilience, à la transition écologique et à l’autonomie stratégique de l’Europe.</w:t>
      </w:r>
    </w:p>
    <w:bookmarkEnd w:id="0"/>
    <w:p w14:paraId="3E8EEDC1" w14:textId="77777777" w:rsidR="00496BB8" w:rsidRPr="00BE55A7" w:rsidRDefault="00496BB8" w:rsidP="00496BB8">
      <w:pPr>
        <w:spacing w:after="0" w:line="240" w:lineRule="auto"/>
        <w:jc w:val="both"/>
        <w:rPr>
          <w:sz w:val="24"/>
          <w:szCs w:val="24"/>
        </w:rPr>
      </w:pPr>
    </w:p>
    <w:p w14:paraId="7C3C267F" w14:textId="0327852C" w:rsidR="00496BB8" w:rsidRPr="00BE55A7" w:rsidRDefault="00496BB8" w:rsidP="00496BB8">
      <w:pPr>
        <w:spacing w:after="0" w:line="240" w:lineRule="auto"/>
        <w:jc w:val="both"/>
        <w:rPr>
          <w:sz w:val="24"/>
          <w:szCs w:val="24"/>
        </w:rPr>
      </w:pPr>
      <w:bookmarkStart w:id="1" w:name="_Hlk241246171"/>
      <w:r w:rsidRPr="00BE55A7">
        <w:rPr>
          <w:sz w:val="24"/>
          <w:szCs w:val="24"/>
        </w:rPr>
        <w:t xml:space="preserve">Nous, les </w:t>
      </w:r>
      <w:r w:rsidR="002F255F" w:rsidRPr="00BE55A7">
        <w:rPr>
          <w:sz w:val="24"/>
          <w:szCs w:val="24"/>
        </w:rPr>
        <w:t>14</w:t>
      </w:r>
      <w:r w:rsidR="0040509C" w:rsidRPr="00BE55A7">
        <w:rPr>
          <w:sz w:val="24"/>
          <w:szCs w:val="24"/>
        </w:rPr>
        <w:t>3</w:t>
      </w:r>
      <w:r w:rsidRPr="00BE55A7">
        <w:rPr>
          <w:sz w:val="24"/>
          <w:szCs w:val="24"/>
        </w:rPr>
        <w:t xml:space="preserve"> régions de l’alliance « EUregions4cohesion », avons déjà défini deux positions claires : la première en septembre 2024, en amont de la proposition de la Commission européenne relative au cadre financier pluriannuel (CFP), et la seconde en novembre 2025, en réponse aux propositions publiées.</w:t>
      </w:r>
    </w:p>
    <w:bookmarkEnd w:id="1"/>
    <w:p w14:paraId="22E12769" w14:textId="77777777" w:rsidR="00496BB8" w:rsidRPr="00BE55A7" w:rsidRDefault="00496BB8" w:rsidP="00496BB8">
      <w:pPr>
        <w:spacing w:after="0" w:line="240" w:lineRule="auto"/>
        <w:jc w:val="both"/>
        <w:rPr>
          <w:sz w:val="24"/>
          <w:szCs w:val="24"/>
        </w:rPr>
      </w:pPr>
    </w:p>
    <w:p w14:paraId="04B8F6ED" w14:textId="1E2C9DBC" w:rsidR="00496BB8" w:rsidRPr="00BE55A7" w:rsidRDefault="00496BB8" w:rsidP="00496BB8">
      <w:pPr>
        <w:spacing w:after="0" w:line="240" w:lineRule="auto"/>
        <w:jc w:val="both"/>
        <w:rPr>
          <w:sz w:val="24"/>
          <w:szCs w:val="24"/>
        </w:rPr>
      </w:pPr>
      <w:r w:rsidRPr="00BE55A7">
        <w:rPr>
          <w:sz w:val="24"/>
          <w:szCs w:val="24"/>
        </w:rPr>
        <w:t>Depuis lors, le Parlement européen (PE) a adopté son « rapport intermédiaire » sur le CFP en mai 2026 et a fait avancer les travaux sur les règlements spécifiques à la politique de cohésion. Nous nous réjouissons que le Parlement européen ait pris en compte bon nombre des priorités et des propositions avancées par les régions.</w:t>
      </w:r>
    </w:p>
    <w:p w14:paraId="63E167C9" w14:textId="77777777" w:rsidR="00496BB8" w:rsidRPr="00BE55A7" w:rsidRDefault="00496BB8" w:rsidP="00496BB8">
      <w:pPr>
        <w:spacing w:after="0" w:line="240" w:lineRule="auto"/>
        <w:jc w:val="both"/>
        <w:rPr>
          <w:sz w:val="24"/>
          <w:szCs w:val="24"/>
        </w:rPr>
      </w:pPr>
    </w:p>
    <w:p w14:paraId="0F6BA922" w14:textId="7A76CFCF" w:rsidR="00496BB8" w:rsidRPr="00BE55A7" w:rsidRDefault="00496BB8" w:rsidP="00496BB8">
      <w:pPr>
        <w:spacing w:after="0" w:line="240" w:lineRule="auto"/>
        <w:jc w:val="both"/>
        <w:rPr>
          <w:sz w:val="24"/>
          <w:szCs w:val="24"/>
        </w:rPr>
      </w:pPr>
      <w:r w:rsidRPr="00BE55A7">
        <w:rPr>
          <w:sz w:val="24"/>
          <w:szCs w:val="24"/>
        </w:rPr>
        <w:t>Sous la présidence chypriote, le Conseil a adopté une orientation générale partielle concernant les règlements relatifs au PPNR, au FEDER/Interreg et au FSE, et a pris acte d’un cadre de négociation daté du 26 juin sur le CFP, comprenant des chiffres précis. L’actuelle présidence irlandaise s’emploie pleinement à faire avancer les négociations.</w:t>
      </w:r>
    </w:p>
    <w:p w14:paraId="0890613E" w14:textId="77777777" w:rsidR="00496BB8" w:rsidRPr="00BE55A7" w:rsidRDefault="00496BB8" w:rsidP="00496BB8">
      <w:pPr>
        <w:spacing w:after="0" w:line="240" w:lineRule="auto"/>
        <w:jc w:val="both"/>
        <w:rPr>
          <w:sz w:val="24"/>
          <w:szCs w:val="24"/>
        </w:rPr>
      </w:pPr>
    </w:p>
    <w:p w14:paraId="48743299" w14:textId="1638A359" w:rsidR="00496BB8" w:rsidRPr="00BE55A7" w:rsidRDefault="00496BB8" w:rsidP="00496BB8">
      <w:pPr>
        <w:spacing w:after="0" w:line="240" w:lineRule="auto"/>
        <w:jc w:val="both"/>
        <w:rPr>
          <w:sz w:val="24"/>
          <w:szCs w:val="24"/>
        </w:rPr>
      </w:pPr>
      <w:r w:rsidRPr="00BE55A7">
        <w:rPr>
          <w:sz w:val="24"/>
          <w:szCs w:val="24"/>
        </w:rPr>
        <w:t>Les négociations ont permis de donner à la politique de cohésion une dimension territoriale plus marquée. Toutefois, la tendance proposée vers un modèle de mise en œuvre plus centralisé et essentiellement national de la politique de cohésion n’a pas encore été suffisamment inversée. Ce choix engendre de nouveaux risques de disparités territoriales et politiques, affaiblissant ainsi le projet européen lui-même.</w:t>
      </w:r>
    </w:p>
    <w:p w14:paraId="68BC7DE2" w14:textId="77777777" w:rsidR="00496BB8" w:rsidRPr="00BE55A7" w:rsidRDefault="00496BB8" w:rsidP="00496BB8">
      <w:pPr>
        <w:spacing w:after="0" w:line="240" w:lineRule="auto"/>
        <w:jc w:val="both"/>
        <w:rPr>
          <w:sz w:val="24"/>
          <w:szCs w:val="24"/>
        </w:rPr>
      </w:pPr>
    </w:p>
    <w:p w14:paraId="2FE5E0F6" w14:textId="2F3D13D3" w:rsidR="00496BB8" w:rsidRPr="00BE55A7" w:rsidRDefault="00496BB8" w:rsidP="00496BB8">
      <w:pPr>
        <w:spacing w:after="0" w:line="240" w:lineRule="auto"/>
        <w:jc w:val="both"/>
        <w:rPr>
          <w:sz w:val="24"/>
          <w:szCs w:val="24"/>
        </w:rPr>
      </w:pPr>
      <w:r w:rsidRPr="00BE55A7">
        <w:rPr>
          <w:sz w:val="24"/>
          <w:szCs w:val="24"/>
        </w:rPr>
        <w:t xml:space="preserve">Cette prise de position expose la vision de la coalition « EUregions4cohesion » concernant les modifications qui devraient être intégrées dans les négociations législatives en cours afin d’assurer une meilleure adéquation avec les principes fondateurs de subsidiarité, de partenariat et de gouvernance </w:t>
      </w:r>
      <w:r w:rsidR="0040509C" w:rsidRPr="00BE55A7">
        <w:rPr>
          <w:sz w:val="24"/>
          <w:szCs w:val="24"/>
        </w:rPr>
        <w:t>multiniveaux</w:t>
      </w:r>
      <w:r w:rsidRPr="00BE55A7">
        <w:rPr>
          <w:sz w:val="24"/>
          <w:szCs w:val="24"/>
        </w:rPr>
        <w:t>, et de garantir un cadre futur véritablement adapté aux régions et à leurs écosystèmes.</w:t>
      </w:r>
    </w:p>
    <w:p w14:paraId="1221A926" w14:textId="77777777" w:rsidR="00496BB8" w:rsidRPr="00BE55A7" w:rsidRDefault="00496BB8" w:rsidP="00496BB8">
      <w:pPr>
        <w:spacing w:after="0" w:line="240" w:lineRule="auto"/>
        <w:jc w:val="both"/>
        <w:rPr>
          <w:sz w:val="24"/>
          <w:szCs w:val="24"/>
        </w:rPr>
      </w:pPr>
    </w:p>
    <w:p w14:paraId="1583350D" w14:textId="77777777" w:rsidR="00496BB8" w:rsidRPr="00BE55A7" w:rsidRDefault="00496BB8" w:rsidP="00716188">
      <w:pPr>
        <w:spacing w:after="0" w:line="240" w:lineRule="auto"/>
        <w:jc w:val="both"/>
        <w:rPr>
          <w:sz w:val="24"/>
          <w:szCs w:val="24"/>
        </w:rPr>
      </w:pPr>
      <w:r w:rsidRPr="00BE55A7">
        <w:rPr>
          <w:sz w:val="24"/>
          <w:szCs w:val="24"/>
        </w:rPr>
        <w:t>Nous nous réjouissons que la position du Parlement européen défende :</w:t>
      </w:r>
    </w:p>
    <w:p w14:paraId="68E8846E" w14:textId="1A468F34" w:rsidR="00496BB8" w:rsidRPr="00BE55A7" w:rsidRDefault="00496BB8" w:rsidP="00716188">
      <w:pPr>
        <w:pStyle w:val="Paragraphedeliste"/>
        <w:numPr>
          <w:ilvl w:val="0"/>
          <w:numId w:val="2"/>
        </w:numPr>
        <w:spacing w:after="0" w:line="240" w:lineRule="auto"/>
        <w:jc w:val="both"/>
        <w:rPr>
          <w:sz w:val="24"/>
          <w:szCs w:val="24"/>
        </w:rPr>
      </w:pPr>
      <w:bookmarkStart w:id="2" w:name="_Hlk241246180"/>
      <w:r w:rsidRPr="00BE55A7">
        <w:rPr>
          <w:sz w:val="24"/>
          <w:szCs w:val="24"/>
        </w:rPr>
        <w:t>Un budget européen clair, distinct et réservé à la politique de cohésion ;</w:t>
      </w:r>
    </w:p>
    <w:bookmarkEnd w:id="2"/>
    <w:p w14:paraId="5754C287" w14:textId="662015FB" w:rsidR="00496BB8" w:rsidRPr="00BE55A7" w:rsidRDefault="00496BB8" w:rsidP="00716188">
      <w:pPr>
        <w:pStyle w:val="Paragraphedeliste"/>
        <w:numPr>
          <w:ilvl w:val="0"/>
          <w:numId w:val="2"/>
        </w:numPr>
        <w:spacing w:after="0" w:line="240" w:lineRule="auto"/>
        <w:jc w:val="both"/>
        <w:rPr>
          <w:sz w:val="24"/>
          <w:szCs w:val="24"/>
        </w:rPr>
      </w:pPr>
      <w:r w:rsidRPr="00BE55A7">
        <w:rPr>
          <w:sz w:val="24"/>
          <w:szCs w:val="24"/>
        </w:rPr>
        <w:t>Un budget européen garanti pour soutenir le développement rural ;</w:t>
      </w:r>
    </w:p>
    <w:p w14:paraId="6FE1485D" w14:textId="093C109D" w:rsidR="00496BB8" w:rsidRPr="00BE55A7" w:rsidRDefault="00496BB8" w:rsidP="00716188">
      <w:pPr>
        <w:pStyle w:val="Paragraphedeliste"/>
        <w:numPr>
          <w:ilvl w:val="0"/>
          <w:numId w:val="2"/>
        </w:numPr>
        <w:spacing w:after="0" w:line="240" w:lineRule="auto"/>
        <w:jc w:val="both"/>
        <w:rPr>
          <w:sz w:val="24"/>
          <w:szCs w:val="24"/>
        </w:rPr>
      </w:pPr>
      <w:r w:rsidRPr="00BE55A7">
        <w:rPr>
          <w:sz w:val="24"/>
          <w:szCs w:val="24"/>
        </w:rPr>
        <w:lastRenderedPageBreak/>
        <w:t>La reconnaissance de la dimension urbaine et du rôle particulier des zones urbaines, ainsi que l’accent mis sur les besoins spécifiques des territoires présentant des handicaps structurels ou situés le long des frontières extérieures de l’UE ;</w:t>
      </w:r>
    </w:p>
    <w:p w14:paraId="12106891" w14:textId="628476BD" w:rsidR="00496BB8" w:rsidRPr="00BE55A7" w:rsidRDefault="00496BB8" w:rsidP="00716188">
      <w:pPr>
        <w:pStyle w:val="Paragraphedeliste"/>
        <w:numPr>
          <w:ilvl w:val="0"/>
          <w:numId w:val="2"/>
        </w:numPr>
        <w:spacing w:after="0" w:line="240" w:lineRule="auto"/>
        <w:jc w:val="both"/>
        <w:rPr>
          <w:sz w:val="24"/>
          <w:szCs w:val="24"/>
        </w:rPr>
      </w:pPr>
      <w:r w:rsidRPr="00BE55A7">
        <w:rPr>
          <w:sz w:val="24"/>
          <w:szCs w:val="24"/>
        </w:rPr>
        <w:t>Le renforcement du rôle des régions et des collectivités locales dans la conception, la mise en œuvre, le suivi et l’évaluation des programmes ;</w:t>
      </w:r>
    </w:p>
    <w:p w14:paraId="1BE22F17" w14:textId="4864B803" w:rsidR="00496BB8" w:rsidRPr="00BE55A7" w:rsidRDefault="00496BB8" w:rsidP="00716188">
      <w:pPr>
        <w:pStyle w:val="Paragraphedeliste"/>
        <w:numPr>
          <w:ilvl w:val="0"/>
          <w:numId w:val="2"/>
        </w:numPr>
        <w:spacing w:after="0" w:line="240" w:lineRule="auto"/>
        <w:jc w:val="both"/>
        <w:rPr>
          <w:sz w:val="24"/>
          <w:szCs w:val="24"/>
        </w:rPr>
      </w:pPr>
      <w:r w:rsidRPr="00BE55A7">
        <w:rPr>
          <w:sz w:val="24"/>
          <w:szCs w:val="24"/>
        </w:rPr>
        <w:t>Le renforcement du partenariat et une forte orientation territoriale, les régions agissant en tant qu’autorités de gestion, notamment par le biais de négociations directes avec la Commission européenne.</w:t>
      </w:r>
    </w:p>
    <w:p w14:paraId="4AC0534C" w14:textId="77777777" w:rsidR="00496BB8" w:rsidRPr="00BE55A7" w:rsidRDefault="00496BB8" w:rsidP="00496BB8">
      <w:pPr>
        <w:spacing w:after="0" w:line="240" w:lineRule="auto"/>
        <w:jc w:val="both"/>
        <w:rPr>
          <w:sz w:val="24"/>
          <w:szCs w:val="24"/>
        </w:rPr>
      </w:pPr>
    </w:p>
    <w:p w14:paraId="4B87C7D4" w14:textId="642D6F37" w:rsidR="00496BB8" w:rsidRPr="00BE55A7" w:rsidRDefault="00496BB8" w:rsidP="00496BB8">
      <w:pPr>
        <w:spacing w:after="0" w:line="240" w:lineRule="auto"/>
        <w:jc w:val="both"/>
        <w:rPr>
          <w:b/>
          <w:bCs/>
          <w:sz w:val="24"/>
          <w:szCs w:val="24"/>
        </w:rPr>
      </w:pPr>
      <w:bookmarkStart w:id="3" w:name="_Hlk241246149"/>
      <w:r w:rsidRPr="00BE55A7">
        <w:rPr>
          <w:b/>
          <w:bCs/>
          <w:sz w:val="24"/>
          <w:szCs w:val="24"/>
        </w:rPr>
        <w:t>Malgré ce cadre positif proposé par le Parlement européen, la coalition EUregions4cohesion appelle les colégislateurs à accorder une attention particulière aux enjeux suivants :</w:t>
      </w:r>
    </w:p>
    <w:bookmarkEnd w:id="3"/>
    <w:p w14:paraId="17156982" w14:textId="77777777" w:rsidR="00496BB8" w:rsidRPr="00BE55A7" w:rsidRDefault="00496BB8" w:rsidP="00496BB8">
      <w:pPr>
        <w:spacing w:after="0" w:line="240" w:lineRule="auto"/>
        <w:jc w:val="both"/>
        <w:rPr>
          <w:b/>
          <w:bCs/>
          <w:sz w:val="24"/>
          <w:szCs w:val="24"/>
        </w:rPr>
      </w:pPr>
    </w:p>
    <w:p w14:paraId="7B180AC8" w14:textId="0E182C45" w:rsidR="00496BB8" w:rsidRPr="00BE55A7" w:rsidRDefault="00496BB8" w:rsidP="00496BB8">
      <w:pPr>
        <w:pStyle w:val="Paragraphedeliste"/>
        <w:numPr>
          <w:ilvl w:val="0"/>
          <w:numId w:val="3"/>
        </w:numPr>
        <w:spacing w:after="0" w:line="240" w:lineRule="auto"/>
        <w:jc w:val="both"/>
        <w:rPr>
          <w:b/>
          <w:bCs/>
          <w:sz w:val="24"/>
          <w:szCs w:val="24"/>
        </w:rPr>
      </w:pPr>
      <w:r w:rsidRPr="00BE55A7">
        <w:rPr>
          <w:b/>
          <w:bCs/>
          <w:sz w:val="24"/>
          <w:szCs w:val="24"/>
        </w:rPr>
        <w:t>Un budget adéquat pour la politique de cohésion et pour toutes les régions</w:t>
      </w:r>
    </w:p>
    <w:p w14:paraId="5C899247" w14:textId="77777777" w:rsidR="00BE55A7" w:rsidRPr="00BE55A7" w:rsidRDefault="00BE55A7" w:rsidP="00BE55A7">
      <w:pPr>
        <w:pStyle w:val="Paragraphedeliste"/>
        <w:spacing w:after="0" w:line="240" w:lineRule="auto"/>
        <w:jc w:val="both"/>
        <w:rPr>
          <w:b/>
          <w:bCs/>
          <w:sz w:val="24"/>
          <w:szCs w:val="24"/>
        </w:rPr>
      </w:pPr>
    </w:p>
    <w:p w14:paraId="6B097D6B" w14:textId="3BC6FED7" w:rsidR="00496BB8" w:rsidRPr="00BE55A7" w:rsidRDefault="00496BB8" w:rsidP="00496BB8">
      <w:pPr>
        <w:spacing w:after="0" w:line="240" w:lineRule="auto"/>
        <w:jc w:val="both"/>
        <w:rPr>
          <w:sz w:val="24"/>
          <w:szCs w:val="24"/>
        </w:rPr>
      </w:pPr>
      <w:r w:rsidRPr="00BE55A7">
        <w:rPr>
          <w:sz w:val="24"/>
          <w:szCs w:val="24"/>
        </w:rPr>
        <w:t>La nouvelle architecture du CFP crée une concurrence entre les différentes politiques et remet en cause un financement clair et prévisible pour toutes les régions.</w:t>
      </w:r>
    </w:p>
    <w:p w14:paraId="3BEDB4CC" w14:textId="77777777" w:rsidR="00496BB8" w:rsidRPr="00BE55A7" w:rsidRDefault="00496BB8" w:rsidP="00496BB8">
      <w:pPr>
        <w:spacing w:after="0" w:line="240" w:lineRule="auto"/>
        <w:jc w:val="both"/>
        <w:rPr>
          <w:sz w:val="24"/>
          <w:szCs w:val="24"/>
        </w:rPr>
      </w:pPr>
    </w:p>
    <w:p w14:paraId="01B3558F" w14:textId="4520448B" w:rsidR="00496BB8" w:rsidRPr="00BE55A7" w:rsidRDefault="00496BB8" w:rsidP="00496BB8">
      <w:pPr>
        <w:spacing w:after="0" w:line="240" w:lineRule="auto"/>
        <w:jc w:val="both"/>
        <w:rPr>
          <w:sz w:val="24"/>
          <w:szCs w:val="24"/>
        </w:rPr>
      </w:pPr>
      <w:bookmarkStart w:id="4" w:name="_Hlk241246143"/>
      <w:r w:rsidRPr="00BE55A7">
        <w:rPr>
          <w:sz w:val="24"/>
          <w:szCs w:val="24"/>
        </w:rPr>
        <w:t>La politique de cohésion doit rester une politique au service de toutes les régions européennes, tout en veillant à ce que le soutien tienne compte de leurs défis territoriaux spécifiques et de leurs besoins en matière de développement. La politique de cohésion joue un rôle clé dans le renforcement de la convergence, de la connectivité et de la compétitivité, favorisant ainsi un marché unique plus intégré et plus efficace.</w:t>
      </w:r>
    </w:p>
    <w:bookmarkEnd w:id="4"/>
    <w:p w14:paraId="39B8047D" w14:textId="77777777" w:rsidR="00496BB8" w:rsidRPr="00BE55A7" w:rsidRDefault="00496BB8" w:rsidP="00496BB8">
      <w:pPr>
        <w:spacing w:after="0" w:line="240" w:lineRule="auto"/>
        <w:jc w:val="both"/>
        <w:rPr>
          <w:sz w:val="24"/>
          <w:szCs w:val="24"/>
        </w:rPr>
      </w:pPr>
    </w:p>
    <w:p w14:paraId="495DB535" w14:textId="77777777" w:rsidR="00496BB8" w:rsidRPr="00BE55A7" w:rsidRDefault="00496BB8" w:rsidP="00496BB8">
      <w:pPr>
        <w:spacing w:after="0" w:line="240" w:lineRule="auto"/>
        <w:jc w:val="both"/>
        <w:rPr>
          <w:sz w:val="24"/>
          <w:szCs w:val="24"/>
          <w:u w:val="single"/>
        </w:rPr>
      </w:pPr>
      <w:r w:rsidRPr="00BE55A7">
        <w:rPr>
          <w:sz w:val="24"/>
          <w:szCs w:val="24"/>
          <w:u w:val="single"/>
        </w:rPr>
        <w:t>Les régions demandent donc :</w:t>
      </w:r>
    </w:p>
    <w:p w14:paraId="16F9CB8A" w14:textId="22992A1A" w:rsidR="00496BB8" w:rsidRPr="00BE55A7" w:rsidRDefault="003D19A0" w:rsidP="00496BB8">
      <w:pPr>
        <w:pStyle w:val="Paragraphedeliste"/>
        <w:numPr>
          <w:ilvl w:val="0"/>
          <w:numId w:val="4"/>
        </w:numPr>
        <w:spacing w:after="0" w:line="240" w:lineRule="auto"/>
        <w:jc w:val="both"/>
        <w:rPr>
          <w:sz w:val="24"/>
          <w:szCs w:val="24"/>
        </w:rPr>
      </w:pPr>
      <w:r w:rsidRPr="00BE55A7">
        <w:rPr>
          <w:b/>
          <w:bCs/>
          <w:sz w:val="24"/>
          <w:szCs w:val="24"/>
        </w:rPr>
        <w:t>De</w:t>
      </w:r>
      <w:r w:rsidR="00496BB8" w:rsidRPr="00BE55A7">
        <w:rPr>
          <w:b/>
          <w:bCs/>
          <w:sz w:val="24"/>
          <w:szCs w:val="24"/>
        </w:rPr>
        <w:t xml:space="preserve"> garantir un budget spécifique pour la politique de cohésion</w:t>
      </w:r>
      <w:r w:rsidR="00496BB8" w:rsidRPr="00BE55A7">
        <w:rPr>
          <w:sz w:val="24"/>
          <w:szCs w:val="24"/>
        </w:rPr>
        <w:t xml:space="preserve"> et pour chaque catégorie de régions, qui ne soit pas inférieur, en termes réels, à la dotation globale pour la période 2021-2027, </w:t>
      </w:r>
      <w:r w:rsidR="00716188" w:rsidRPr="00BE55A7">
        <w:rPr>
          <w:sz w:val="24"/>
          <w:szCs w:val="24"/>
        </w:rPr>
        <w:t>hors</w:t>
      </w:r>
      <w:r w:rsidRPr="00BE55A7">
        <w:rPr>
          <w:sz w:val="24"/>
          <w:szCs w:val="24"/>
        </w:rPr>
        <w:t xml:space="preserve"> </w:t>
      </w:r>
      <w:r w:rsidR="00716188" w:rsidRPr="00BE55A7">
        <w:rPr>
          <w:sz w:val="24"/>
          <w:szCs w:val="24"/>
        </w:rPr>
        <w:t>i</w:t>
      </w:r>
      <w:r w:rsidRPr="00BE55A7">
        <w:rPr>
          <w:sz w:val="24"/>
          <w:szCs w:val="24"/>
        </w:rPr>
        <w:t>nstruments</w:t>
      </w:r>
      <w:r w:rsidR="00496BB8" w:rsidRPr="00BE55A7">
        <w:rPr>
          <w:sz w:val="24"/>
          <w:szCs w:val="24"/>
        </w:rPr>
        <w:t xml:space="preserve"> temporaires de crise et en tenant pleinement compte de l’inflation ;</w:t>
      </w:r>
    </w:p>
    <w:p w14:paraId="24E24C1D" w14:textId="6FFD6CA1" w:rsidR="00496BB8" w:rsidRPr="00BE55A7" w:rsidRDefault="003D19A0" w:rsidP="00496BB8">
      <w:pPr>
        <w:pStyle w:val="Paragraphedeliste"/>
        <w:numPr>
          <w:ilvl w:val="0"/>
          <w:numId w:val="4"/>
        </w:numPr>
        <w:spacing w:after="0" w:line="240" w:lineRule="auto"/>
        <w:jc w:val="both"/>
        <w:rPr>
          <w:sz w:val="24"/>
          <w:szCs w:val="24"/>
        </w:rPr>
      </w:pPr>
      <w:r w:rsidRPr="00BE55A7">
        <w:rPr>
          <w:sz w:val="24"/>
          <w:szCs w:val="24"/>
        </w:rPr>
        <w:t>Un</w:t>
      </w:r>
      <w:r w:rsidR="00496BB8" w:rsidRPr="00BE55A7">
        <w:rPr>
          <w:sz w:val="24"/>
          <w:szCs w:val="24"/>
        </w:rPr>
        <w:t xml:space="preserve"> « </w:t>
      </w:r>
      <w:r w:rsidR="00496BB8" w:rsidRPr="00BE55A7">
        <w:rPr>
          <w:b/>
          <w:bCs/>
          <w:sz w:val="24"/>
          <w:szCs w:val="24"/>
        </w:rPr>
        <w:t>filet de sécurité</w:t>
      </w:r>
      <w:r w:rsidR="00496BB8" w:rsidRPr="00BE55A7">
        <w:rPr>
          <w:sz w:val="24"/>
          <w:szCs w:val="24"/>
        </w:rPr>
        <w:t xml:space="preserve"> » obligatoire, avec une allocation de ressources à toutes les catégories de régions d’au moins 75 % des ressources mises à disposition pour ces catégories de régions au titre du CFP 2021-2027, à définir dès que possible, et au plus tard parallèlement à l’adoption du règlement relatif au CFP. </w:t>
      </w:r>
      <w:r w:rsidR="00716188" w:rsidRPr="00BE55A7">
        <w:rPr>
          <w:sz w:val="24"/>
          <w:szCs w:val="24"/>
        </w:rPr>
        <w:t>Un tel</w:t>
      </w:r>
      <w:r w:rsidR="00496BB8" w:rsidRPr="00BE55A7">
        <w:rPr>
          <w:sz w:val="24"/>
          <w:szCs w:val="24"/>
        </w:rPr>
        <w:t xml:space="preserve"> filet de sécurité doit être compatible avec l’allocation minimale prévue par le règlement pour les régions moins développées, qui doit être réservée aux interventions de la politique de cohésion et ne pas être utilisée pour d’autres domaines d’action du PNR ;</w:t>
      </w:r>
    </w:p>
    <w:p w14:paraId="341DE945" w14:textId="6BE50232" w:rsidR="00496BB8" w:rsidRPr="00BE55A7" w:rsidRDefault="003D19A0" w:rsidP="00496BB8">
      <w:pPr>
        <w:pStyle w:val="Paragraphedeliste"/>
        <w:numPr>
          <w:ilvl w:val="0"/>
          <w:numId w:val="4"/>
        </w:numPr>
        <w:spacing w:after="0" w:line="240" w:lineRule="auto"/>
        <w:jc w:val="both"/>
        <w:rPr>
          <w:sz w:val="24"/>
          <w:szCs w:val="24"/>
        </w:rPr>
      </w:pPr>
      <w:r w:rsidRPr="00BE55A7">
        <w:rPr>
          <w:b/>
          <w:bCs/>
          <w:sz w:val="24"/>
          <w:szCs w:val="24"/>
        </w:rPr>
        <w:t>Le</w:t>
      </w:r>
      <w:r w:rsidR="00496BB8" w:rsidRPr="00BE55A7">
        <w:rPr>
          <w:b/>
          <w:bCs/>
          <w:sz w:val="24"/>
          <w:szCs w:val="24"/>
        </w:rPr>
        <w:t xml:space="preserve"> maintien des taux de cofinancement de l’UE</w:t>
      </w:r>
      <w:r w:rsidR="00496BB8" w:rsidRPr="00BE55A7">
        <w:rPr>
          <w:sz w:val="24"/>
          <w:szCs w:val="24"/>
        </w:rPr>
        <w:t xml:space="preserve"> au même niveau que lors de la période de financement actuelle ;</w:t>
      </w:r>
    </w:p>
    <w:p w14:paraId="4EA0E7F9" w14:textId="3F3F314C" w:rsidR="00496BB8" w:rsidRPr="00BE55A7" w:rsidRDefault="003D19A0" w:rsidP="00496BB8">
      <w:pPr>
        <w:pStyle w:val="Paragraphedeliste"/>
        <w:numPr>
          <w:ilvl w:val="0"/>
          <w:numId w:val="4"/>
        </w:numPr>
        <w:spacing w:after="0" w:line="240" w:lineRule="auto"/>
        <w:jc w:val="both"/>
        <w:rPr>
          <w:sz w:val="24"/>
          <w:szCs w:val="24"/>
        </w:rPr>
      </w:pPr>
      <w:r w:rsidRPr="00BE55A7">
        <w:rPr>
          <w:sz w:val="24"/>
          <w:szCs w:val="24"/>
        </w:rPr>
        <w:t>La</w:t>
      </w:r>
      <w:r w:rsidR="00496BB8" w:rsidRPr="00BE55A7">
        <w:rPr>
          <w:sz w:val="24"/>
          <w:szCs w:val="24"/>
        </w:rPr>
        <w:t xml:space="preserve"> conformité de tous les instruments du CFP, des mécanismes de flexibilité, des mesures de réponse à la crise et des décisions de reprogrammation avec un principe contraignant de « </w:t>
      </w:r>
      <w:r w:rsidR="00496BB8" w:rsidRPr="00BE55A7">
        <w:rPr>
          <w:b/>
          <w:bCs/>
          <w:sz w:val="24"/>
          <w:szCs w:val="24"/>
        </w:rPr>
        <w:t>ne pas nuire à la cohésion</w:t>
      </w:r>
      <w:r w:rsidR="00496BB8" w:rsidRPr="00BE55A7">
        <w:rPr>
          <w:sz w:val="24"/>
          <w:szCs w:val="24"/>
        </w:rPr>
        <w:t xml:space="preserve"> ». Les ressources des volets régionaux ne doivent pas être transférées vers d’autres politiques, des volets nationaux ou des instruments gérés de manière centralisée sans l’accord formel préalable des régions concernées.</w:t>
      </w:r>
    </w:p>
    <w:p w14:paraId="3F07A654" w14:textId="77777777" w:rsidR="00BE55A7" w:rsidRDefault="00BE55A7" w:rsidP="00496BB8">
      <w:pPr>
        <w:spacing w:after="0" w:line="240" w:lineRule="auto"/>
        <w:jc w:val="both"/>
        <w:rPr>
          <w:sz w:val="24"/>
          <w:szCs w:val="24"/>
        </w:rPr>
      </w:pPr>
    </w:p>
    <w:p w14:paraId="0EC157FD" w14:textId="77777777" w:rsidR="00BE55A7" w:rsidRPr="00BE55A7" w:rsidRDefault="00BE55A7" w:rsidP="00496BB8">
      <w:pPr>
        <w:spacing w:after="0" w:line="240" w:lineRule="auto"/>
        <w:jc w:val="both"/>
        <w:rPr>
          <w:sz w:val="24"/>
          <w:szCs w:val="24"/>
        </w:rPr>
      </w:pPr>
    </w:p>
    <w:p w14:paraId="4CD889F0" w14:textId="7E26293C" w:rsidR="00496BB8" w:rsidRPr="00BE55A7" w:rsidRDefault="00496BB8" w:rsidP="00496BB8">
      <w:pPr>
        <w:pStyle w:val="Paragraphedeliste"/>
        <w:numPr>
          <w:ilvl w:val="0"/>
          <w:numId w:val="3"/>
        </w:numPr>
        <w:spacing w:after="0" w:line="240" w:lineRule="auto"/>
        <w:jc w:val="both"/>
        <w:rPr>
          <w:b/>
          <w:bCs/>
          <w:sz w:val="24"/>
          <w:szCs w:val="24"/>
        </w:rPr>
      </w:pPr>
      <w:r w:rsidRPr="00BE55A7">
        <w:rPr>
          <w:b/>
          <w:bCs/>
          <w:sz w:val="24"/>
          <w:szCs w:val="24"/>
        </w:rPr>
        <w:t xml:space="preserve">Des chapitres régionaux et des garanties renforcées en matière de gouvernance </w:t>
      </w:r>
      <w:r w:rsidR="0040509C" w:rsidRPr="00BE55A7">
        <w:rPr>
          <w:b/>
          <w:bCs/>
          <w:sz w:val="24"/>
          <w:szCs w:val="24"/>
        </w:rPr>
        <w:t xml:space="preserve">multiniveaux </w:t>
      </w:r>
      <w:r w:rsidRPr="00BE55A7">
        <w:rPr>
          <w:b/>
          <w:bCs/>
          <w:sz w:val="24"/>
          <w:szCs w:val="24"/>
        </w:rPr>
        <w:t>et de partenariat</w:t>
      </w:r>
    </w:p>
    <w:p w14:paraId="19BDB8D9" w14:textId="77777777" w:rsidR="00BE55A7" w:rsidRPr="00BE55A7" w:rsidRDefault="00BE55A7" w:rsidP="00716188">
      <w:pPr>
        <w:spacing w:after="0" w:line="240" w:lineRule="auto"/>
        <w:jc w:val="both"/>
        <w:rPr>
          <w:sz w:val="24"/>
          <w:szCs w:val="24"/>
        </w:rPr>
      </w:pPr>
    </w:p>
    <w:p w14:paraId="23A58750" w14:textId="24BDA05C" w:rsidR="004C6886" w:rsidRPr="00BE55A7" w:rsidRDefault="00716188" w:rsidP="00716188">
      <w:pPr>
        <w:spacing w:after="0" w:line="240" w:lineRule="auto"/>
        <w:jc w:val="both"/>
        <w:rPr>
          <w:sz w:val="24"/>
          <w:szCs w:val="24"/>
        </w:rPr>
      </w:pPr>
      <w:r w:rsidRPr="00BE55A7">
        <w:rPr>
          <w:sz w:val="24"/>
          <w:szCs w:val="24"/>
        </w:rPr>
        <w:t>Les gouvernements nationaux devraient mettre en place un modèle de gouvernance à plusieurs niveaux et assurer une coopération efficace avec les autorités régionales, grâce à des mécanismes de coordination structurés et réguliers, permettant leur participation effective à la conception, à la mise en œuvre, au suivi et à l'évaluation des plans de partenariat national et régional (PPNR)</w:t>
      </w:r>
    </w:p>
    <w:p w14:paraId="42F74A59" w14:textId="77777777" w:rsidR="00716188" w:rsidRPr="00BE55A7" w:rsidRDefault="00716188" w:rsidP="00716188">
      <w:pPr>
        <w:spacing w:after="0" w:line="240" w:lineRule="auto"/>
        <w:jc w:val="both"/>
        <w:rPr>
          <w:sz w:val="24"/>
          <w:szCs w:val="24"/>
        </w:rPr>
      </w:pPr>
    </w:p>
    <w:p w14:paraId="1E5647DF" w14:textId="77777777" w:rsidR="00897FC3" w:rsidRPr="00BE55A7" w:rsidRDefault="00897FC3" w:rsidP="00897FC3">
      <w:pPr>
        <w:spacing w:after="0" w:line="240" w:lineRule="auto"/>
        <w:jc w:val="both"/>
        <w:rPr>
          <w:sz w:val="24"/>
          <w:szCs w:val="24"/>
          <w:u w:val="single"/>
        </w:rPr>
      </w:pPr>
      <w:r w:rsidRPr="00BE55A7">
        <w:rPr>
          <w:sz w:val="24"/>
          <w:szCs w:val="24"/>
          <w:u w:val="single"/>
        </w:rPr>
        <w:t>Les régions demandent donc :</w:t>
      </w:r>
    </w:p>
    <w:p w14:paraId="6E28BC2A" w14:textId="6A242C77" w:rsidR="00496BB8" w:rsidRPr="00BE55A7" w:rsidRDefault="003D19A0" w:rsidP="003D19A0">
      <w:pPr>
        <w:pStyle w:val="Paragraphedeliste"/>
        <w:numPr>
          <w:ilvl w:val="0"/>
          <w:numId w:val="5"/>
        </w:numPr>
        <w:spacing w:after="0" w:line="240" w:lineRule="auto"/>
        <w:jc w:val="both"/>
        <w:rPr>
          <w:sz w:val="24"/>
          <w:szCs w:val="24"/>
        </w:rPr>
      </w:pPr>
      <w:r w:rsidRPr="00BE55A7">
        <w:rPr>
          <w:b/>
          <w:bCs/>
          <w:sz w:val="24"/>
          <w:szCs w:val="24"/>
        </w:rPr>
        <w:t>Des</w:t>
      </w:r>
      <w:r w:rsidR="00496BB8" w:rsidRPr="00BE55A7">
        <w:rPr>
          <w:b/>
          <w:bCs/>
          <w:sz w:val="24"/>
          <w:szCs w:val="24"/>
        </w:rPr>
        <w:t xml:space="preserve"> </w:t>
      </w:r>
      <w:r w:rsidRPr="00BE55A7">
        <w:rPr>
          <w:b/>
          <w:bCs/>
          <w:sz w:val="24"/>
          <w:szCs w:val="24"/>
        </w:rPr>
        <w:t>chapitres</w:t>
      </w:r>
      <w:r w:rsidR="00496BB8" w:rsidRPr="00BE55A7">
        <w:rPr>
          <w:b/>
          <w:bCs/>
          <w:sz w:val="24"/>
          <w:szCs w:val="24"/>
        </w:rPr>
        <w:t xml:space="preserve"> régionaux</w:t>
      </w:r>
      <w:r w:rsidR="00496BB8" w:rsidRPr="00BE55A7">
        <w:rPr>
          <w:sz w:val="24"/>
          <w:szCs w:val="24"/>
        </w:rPr>
        <w:t xml:space="preserve">, faisant partie intégrante des </w:t>
      </w:r>
      <w:r w:rsidR="00716188" w:rsidRPr="00BE55A7">
        <w:rPr>
          <w:sz w:val="24"/>
          <w:szCs w:val="24"/>
        </w:rPr>
        <w:t>PPNR</w:t>
      </w:r>
      <w:r w:rsidR="00496BB8" w:rsidRPr="00BE55A7">
        <w:rPr>
          <w:sz w:val="24"/>
          <w:szCs w:val="24"/>
        </w:rPr>
        <w:t>, avec au moins un volet par région, dotés d’allocations financières spécifiques, fondées sur des besoins territoriaux identifiés et étayés par des données factuelles ainsi que sur le potentiel de développement, avec la possibilité d’intervenir sur tous les objectifs spécifiques sans restriction. Les autorités régionales devraient avoir l’entière responsabilité de la planification, de la définition des priorités d’investissement au niveau régional, de la sélection des opérations, de la gestion financière et de la mise en œuvre de leurs chapitres régionaux/territoriaux ;</w:t>
      </w:r>
    </w:p>
    <w:p w14:paraId="2889738B" w14:textId="61EB051F" w:rsidR="00496BB8" w:rsidRPr="00BE55A7" w:rsidRDefault="003D19A0" w:rsidP="003D19A0">
      <w:pPr>
        <w:pStyle w:val="Paragraphedeliste"/>
        <w:numPr>
          <w:ilvl w:val="0"/>
          <w:numId w:val="5"/>
        </w:numPr>
        <w:spacing w:after="0" w:line="240" w:lineRule="auto"/>
        <w:jc w:val="both"/>
        <w:rPr>
          <w:sz w:val="24"/>
          <w:szCs w:val="24"/>
        </w:rPr>
      </w:pPr>
      <w:r w:rsidRPr="00BE55A7">
        <w:rPr>
          <w:b/>
          <w:bCs/>
          <w:sz w:val="24"/>
          <w:szCs w:val="24"/>
        </w:rPr>
        <w:t>Un</w:t>
      </w:r>
      <w:r w:rsidR="00496BB8" w:rsidRPr="00BE55A7">
        <w:rPr>
          <w:b/>
          <w:bCs/>
          <w:sz w:val="24"/>
          <w:szCs w:val="24"/>
        </w:rPr>
        <w:t xml:space="preserve"> chapitre régional</w:t>
      </w:r>
      <w:r w:rsidR="00496BB8" w:rsidRPr="00BE55A7">
        <w:rPr>
          <w:sz w:val="24"/>
          <w:szCs w:val="24"/>
        </w:rPr>
        <w:t>, ses priorités ou son allocation ne peuvent être modifiés, fusionnés, suspendus ou réaffectés par l’État membre sans l’accord formel préalable de l’autorité régionale compétente et de la Commission européenne ;</w:t>
      </w:r>
    </w:p>
    <w:p w14:paraId="705B4DB7" w14:textId="42B6874C" w:rsidR="00496BB8" w:rsidRPr="00BE55A7" w:rsidRDefault="003D19A0" w:rsidP="003D19A0">
      <w:pPr>
        <w:pStyle w:val="Paragraphedeliste"/>
        <w:numPr>
          <w:ilvl w:val="0"/>
          <w:numId w:val="5"/>
        </w:numPr>
        <w:spacing w:after="0" w:line="240" w:lineRule="auto"/>
        <w:jc w:val="both"/>
        <w:rPr>
          <w:sz w:val="24"/>
          <w:szCs w:val="24"/>
        </w:rPr>
      </w:pPr>
      <w:r w:rsidRPr="00BE55A7">
        <w:rPr>
          <w:b/>
          <w:bCs/>
          <w:sz w:val="24"/>
          <w:szCs w:val="24"/>
        </w:rPr>
        <w:t>Une</w:t>
      </w:r>
      <w:r w:rsidR="00496BB8" w:rsidRPr="00BE55A7">
        <w:rPr>
          <w:b/>
          <w:bCs/>
          <w:sz w:val="24"/>
          <w:szCs w:val="24"/>
        </w:rPr>
        <w:t xml:space="preserve"> négociation directe </w:t>
      </w:r>
      <w:r w:rsidR="00496BB8" w:rsidRPr="00BE55A7">
        <w:rPr>
          <w:sz w:val="24"/>
          <w:szCs w:val="24"/>
        </w:rPr>
        <w:t>de leurs chapitres régionaux/territoriaux avec la Commission européenne et la possibilité de les modifier de manière autonome, sans que cela dépende de modifications apportées aux plans nationaux.</w:t>
      </w:r>
    </w:p>
    <w:p w14:paraId="5EE6356A" w14:textId="77777777" w:rsidR="00BE55A7" w:rsidRPr="00BE55A7" w:rsidRDefault="00BE55A7" w:rsidP="00897FC3">
      <w:pPr>
        <w:pStyle w:val="Paragraphedeliste"/>
        <w:spacing w:after="0" w:line="240" w:lineRule="auto"/>
        <w:jc w:val="both"/>
        <w:rPr>
          <w:b/>
          <w:bCs/>
          <w:sz w:val="24"/>
          <w:szCs w:val="24"/>
        </w:rPr>
      </w:pPr>
    </w:p>
    <w:p w14:paraId="33E11941" w14:textId="77777777" w:rsidR="00BE55A7" w:rsidRPr="00BE55A7" w:rsidRDefault="00BE55A7" w:rsidP="00897FC3">
      <w:pPr>
        <w:pStyle w:val="Paragraphedeliste"/>
        <w:spacing w:after="0" w:line="240" w:lineRule="auto"/>
        <w:jc w:val="both"/>
        <w:rPr>
          <w:b/>
          <w:bCs/>
          <w:sz w:val="24"/>
          <w:szCs w:val="24"/>
        </w:rPr>
      </w:pPr>
    </w:p>
    <w:p w14:paraId="2F8D13A2" w14:textId="5E33F90F" w:rsidR="00897FC3" w:rsidRPr="00BE55A7" w:rsidRDefault="00897FC3" w:rsidP="00897FC3">
      <w:pPr>
        <w:pStyle w:val="Paragraphedeliste"/>
        <w:numPr>
          <w:ilvl w:val="0"/>
          <w:numId w:val="3"/>
        </w:numPr>
        <w:spacing w:after="0" w:line="240" w:lineRule="auto"/>
        <w:jc w:val="both"/>
        <w:rPr>
          <w:b/>
          <w:bCs/>
          <w:sz w:val="24"/>
          <w:szCs w:val="24"/>
        </w:rPr>
      </w:pPr>
      <w:r w:rsidRPr="00BE55A7">
        <w:rPr>
          <w:b/>
          <w:bCs/>
          <w:sz w:val="24"/>
          <w:szCs w:val="24"/>
        </w:rPr>
        <w:t>Une politique de cohésion simplifiée, axée sur les résultats, et une réduction de la charge administrative</w:t>
      </w:r>
    </w:p>
    <w:p w14:paraId="2956E23B" w14:textId="77777777" w:rsidR="00BE55A7" w:rsidRPr="00BE55A7" w:rsidRDefault="00BE55A7" w:rsidP="00897FC3">
      <w:pPr>
        <w:spacing w:after="0" w:line="240" w:lineRule="auto"/>
        <w:jc w:val="both"/>
        <w:rPr>
          <w:sz w:val="24"/>
          <w:szCs w:val="24"/>
        </w:rPr>
      </w:pPr>
    </w:p>
    <w:p w14:paraId="1A8977FA" w14:textId="75DFE4BB" w:rsidR="00897FC3" w:rsidRPr="00BE55A7" w:rsidRDefault="00897FC3" w:rsidP="00897FC3">
      <w:pPr>
        <w:spacing w:after="0" w:line="240" w:lineRule="auto"/>
        <w:jc w:val="both"/>
        <w:rPr>
          <w:sz w:val="24"/>
          <w:szCs w:val="24"/>
        </w:rPr>
      </w:pPr>
      <w:r w:rsidRPr="00BE55A7">
        <w:rPr>
          <w:sz w:val="24"/>
          <w:szCs w:val="24"/>
        </w:rPr>
        <w:t>Le système de performance proposé, avec les indicateurs qui s’y rapportent, doit être adapté à la politique de cohésion ainsi qu’aux spécificités régionales, et la charge administrative ne doit pas être transférée du niveau européen vers les niveaux national et régional. Allant à l’encontre de l’objectif de simplification, le système proposé risque de créer un double niveau de suivi : d’une part, celui des étapes clés et des objectifs, et d’autre part, celui des dépenses et des coûts, ce qui entraînerait une charge administrative inutile pour les bénéficiaires et les autorités.</w:t>
      </w:r>
    </w:p>
    <w:p w14:paraId="4B617F06" w14:textId="77777777" w:rsidR="00897FC3" w:rsidRPr="00BE55A7" w:rsidRDefault="00897FC3" w:rsidP="00897FC3">
      <w:pPr>
        <w:spacing w:after="0" w:line="240" w:lineRule="auto"/>
        <w:jc w:val="both"/>
        <w:rPr>
          <w:sz w:val="24"/>
          <w:szCs w:val="24"/>
        </w:rPr>
      </w:pPr>
    </w:p>
    <w:p w14:paraId="0C3F36AA" w14:textId="77777777" w:rsidR="00897FC3" w:rsidRPr="00BE55A7" w:rsidRDefault="00897FC3" w:rsidP="00897FC3">
      <w:pPr>
        <w:spacing w:after="0" w:line="240" w:lineRule="auto"/>
        <w:jc w:val="both"/>
        <w:rPr>
          <w:sz w:val="24"/>
          <w:szCs w:val="24"/>
          <w:u w:val="single"/>
        </w:rPr>
      </w:pPr>
      <w:r w:rsidRPr="00BE55A7">
        <w:rPr>
          <w:sz w:val="24"/>
          <w:szCs w:val="24"/>
          <w:u w:val="single"/>
        </w:rPr>
        <w:t>Les régions demandent donc :</w:t>
      </w:r>
    </w:p>
    <w:p w14:paraId="5E813E8B" w14:textId="7FC356EA" w:rsidR="00897FC3" w:rsidRPr="00BE55A7" w:rsidRDefault="00897FC3" w:rsidP="00897FC3">
      <w:pPr>
        <w:pStyle w:val="Paragraphedeliste"/>
        <w:numPr>
          <w:ilvl w:val="0"/>
          <w:numId w:val="5"/>
        </w:numPr>
        <w:spacing w:after="0" w:line="240" w:lineRule="auto"/>
        <w:jc w:val="both"/>
        <w:rPr>
          <w:sz w:val="24"/>
          <w:szCs w:val="24"/>
        </w:rPr>
      </w:pPr>
      <w:r w:rsidRPr="00BE55A7">
        <w:rPr>
          <w:sz w:val="24"/>
          <w:szCs w:val="24"/>
        </w:rPr>
        <w:t xml:space="preserve">Que les </w:t>
      </w:r>
      <w:r w:rsidRPr="00BE55A7">
        <w:rPr>
          <w:b/>
          <w:bCs/>
          <w:sz w:val="24"/>
          <w:szCs w:val="24"/>
        </w:rPr>
        <w:t>étapes qualitatives (jalons) et les objectifs quantitatifs (cibles) pertinents</w:t>
      </w:r>
      <w:r w:rsidRPr="00BE55A7">
        <w:rPr>
          <w:sz w:val="24"/>
          <w:szCs w:val="24"/>
        </w:rPr>
        <w:t>, ainsi que leurs dates d’achèvement indicatives et indicateurs de performance correspondants, soient fixés par l’autorité de gestion au niveau régional, sur la base des besoins territoriaux identifiés et en tenant compte des spécificités régionales ; lorsqu’il n’existe pas d’autorité de gestion de ce type au niveau régional, cette tâche devrait être assurée conjointement par les autorités régionales et l’autorité de gestion compétente ;</w:t>
      </w:r>
    </w:p>
    <w:p w14:paraId="3F9D7F77" w14:textId="3FBCA600" w:rsidR="00897FC3" w:rsidRPr="00BE55A7" w:rsidRDefault="00897FC3" w:rsidP="00897FC3">
      <w:pPr>
        <w:pStyle w:val="Paragraphedeliste"/>
        <w:numPr>
          <w:ilvl w:val="0"/>
          <w:numId w:val="5"/>
        </w:numPr>
        <w:spacing w:after="0" w:line="240" w:lineRule="auto"/>
        <w:jc w:val="both"/>
        <w:rPr>
          <w:sz w:val="24"/>
          <w:szCs w:val="24"/>
        </w:rPr>
      </w:pPr>
      <w:r w:rsidRPr="00BE55A7">
        <w:rPr>
          <w:sz w:val="24"/>
          <w:szCs w:val="24"/>
        </w:rPr>
        <w:lastRenderedPageBreak/>
        <w:t>Que les régions soient chargées de présenter les demandes de paiement à la Commission, lorsqu’elles agissent en tant qu’autorités de gestion ;</w:t>
      </w:r>
    </w:p>
    <w:p w14:paraId="33139947" w14:textId="50ED4558" w:rsidR="00897FC3" w:rsidRPr="00BE55A7" w:rsidRDefault="00897FC3" w:rsidP="00897FC3">
      <w:pPr>
        <w:pStyle w:val="Paragraphedeliste"/>
        <w:numPr>
          <w:ilvl w:val="0"/>
          <w:numId w:val="5"/>
        </w:numPr>
        <w:spacing w:after="0" w:line="240" w:lineRule="auto"/>
        <w:jc w:val="both"/>
        <w:rPr>
          <w:sz w:val="24"/>
          <w:szCs w:val="24"/>
        </w:rPr>
      </w:pPr>
      <w:r w:rsidRPr="00BE55A7">
        <w:rPr>
          <w:sz w:val="24"/>
          <w:szCs w:val="24"/>
        </w:rPr>
        <w:t xml:space="preserve">Dans le cas des étapes et des objectifs qui ont été atteints et vérifiés, </w:t>
      </w:r>
      <w:r w:rsidRPr="00BE55A7">
        <w:rPr>
          <w:b/>
          <w:bCs/>
          <w:sz w:val="24"/>
          <w:szCs w:val="24"/>
        </w:rPr>
        <w:t xml:space="preserve">les coûts sous-jacents ne devraient pas faire l’objet d’un contrôle </w:t>
      </w:r>
      <w:r w:rsidRPr="00BE55A7">
        <w:rPr>
          <w:sz w:val="24"/>
          <w:szCs w:val="24"/>
        </w:rPr>
        <w:t>de la part des autorités de gestion ni des organismes d’audit nationaux et européens ;</w:t>
      </w:r>
    </w:p>
    <w:p w14:paraId="47E6F897" w14:textId="027B25A4" w:rsidR="00897FC3" w:rsidRPr="00BE55A7" w:rsidRDefault="00897FC3" w:rsidP="00897FC3">
      <w:pPr>
        <w:pStyle w:val="Paragraphedeliste"/>
        <w:numPr>
          <w:ilvl w:val="0"/>
          <w:numId w:val="5"/>
        </w:numPr>
        <w:spacing w:after="0" w:line="240" w:lineRule="auto"/>
        <w:jc w:val="both"/>
        <w:rPr>
          <w:sz w:val="24"/>
          <w:szCs w:val="24"/>
        </w:rPr>
      </w:pPr>
      <w:r w:rsidRPr="00BE55A7">
        <w:rPr>
          <w:sz w:val="24"/>
          <w:szCs w:val="24"/>
        </w:rPr>
        <w:t>Les corrections financières, les suspensions et les recouvrements liés à une composante régionale ne devraient s’appliquer que lorsque l’infraction est imputable à l’autorité responsable de cette composante et relève de son contrôle juridique et opérationnel. Il ne devrait y avoir aucune responsabilité collective ou croisée entre l’État membre et les régions, ni entre les différentes composantes régionales ;</w:t>
      </w:r>
    </w:p>
    <w:p w14:paraId="016B11D8" w14:textId="4059AD78" w:rsidR="00BE55A7" w:rsidRPr="00BE55A7" w:rsidRDefault="00897FC3" w:rsidP="00897FC3">
      <w:pPr>
        <w:pStyle w:val="Paragraphedeliste"/>
        <w:numPr>
          <w:ilvl w:val="0"/>
          <w:numId w:val="5"/>
        </w:numPr>
        <w:spacing w:after="0" w:line="240" w:lineRule="auto"/>
        <w:jc w:val="both"/>
        <w:rPr>
          <w:sz w:val="24"/>
          <w:szCs w:val="24"/>
        </w:rPr>
      </w:pPr>
      <w:r w:rsidRPr="00BE55A7">
        <w:rPr>
          <w:sz w:val="24"/>
          <w:szCs w:val="24"/>
        </w:rPr>
        <w:t xml:space="preserve">Un délai de paiement réaliste pour le bénéficiaire devrait être </w:t>
      </w:r>
      <w:r w:rsidRPr="00BE55A7">
        <w:rPr>
          <w:b/>
          <w:bCs/>
          <w:sz w:val="24"/>
          <w:szCs w:val="24"/>
        </w:rPr>
        <w:t>fixé à 90 jours</w:t>
      </w:r>
      <w:r w:rsidRPr="00BE55A7">
        <w:rPr>
          <w:sz w:val="24"/>
          <w:szCs w:val="24"/>
        </w:rPr>
        <w:t xml:space="preserve"> à compter de la date de soumission de la demande de paiement.</w:t>
      </w:r>
    </w:p>
    <w:p w14:paraId="6840D503" w14:textId="77777777" w:rsidR="00897FC3" w:rsidRPr="00BE55A7" w:rsidRDefault="00897FC3" w:rsidP="00897FC3">
      <w:pPr>
        <w:spacing w:after="0" w:line="240" w:lineRule="auto"/>
        <w:jc w:val="both"/>
        <w:rPr>
          <w:sz w:val="24"/>
          <w:szCs w:val="24"/>
        </w:rPr>
      </w:pPr>
    </w:p>
    <w:p w14:paraId="0DA60717" w14:textId="08CAC42D" w:rsidR="00897FC3" w:rsidRPr="00BE55A7" w:rsidRDefault="00897FC3" w:rsidP="00897FC3">
      <w:pPr>
        <w:pStyle w:val="Paragraphedeliste"/>
        <w:numPr>
          <w:ilvl w:val="0"/>
          <w:numId w:val="3"/>
        </w:numPr>
        <w:spacing w:after="0" w:line="240" w:lineRule="auto"/>
        <w:jc w:val="both"/>
        <w:rPr>
          <w:b/>
          <w:bCs/>
          <w:sz w:val="24"/>
          <w:szCs w:val="24"/>
        </w:rPr>
      </w:pPr>
      <w:r w:rsidRPr="00BE55A7">
        <w:rPr>
          <w:b/>
          <w:bCs/>
          <w:sz w:val="24"/>
          <w:szCs w:val="24"/>
        </w:rPr>
        <w:t xml:space="preserve">Politiques, investissements et réformes axés sur les collectivités locales et régionales </w:t>
      </w:r>
    </w:p>
    <w:p w14:paraId="42BCD4AD" w14:textId="77777777" w:rsidR="00BE55A7" w:rsidRPr="00BE55A7" w:rsidRDefault="00BE55A7" w:rsidP="00897FC3">
      <w:pPr>
        <w:spacing w:after="0" w:line="240" w:lineRule="auto"/>
        <w:jc w:val="both"/>
        <w:rPr>
          <w:sz w:val="24"/>
          <w:szCs w:val="24"/>
        </w:rPr>
      </w:pPr>
    </w:p>
    <w:p w14:paraId="4A1A1653" w14:textId="1E6924FE" w:rsidR="00897FC3" w:rsidRPr="00BE55A7" w:rsidRDefault="00897FC3" w:rsidP="00897FC3">
      <w:pPr>
        <w:spacing w:after="0" w:line="240" w:lineRule="auto"/>
        <w:jc w:val="both"/>
        <w:rPr>
          <w:b/>
          <w:bCs/>
          <w:sz w:val="24"/>
          <w:szCs w:val="24"/>
        </w:rPr>
      </w:pPr>
      <w:r w:rsidRPr="00BE55A7">
        <w:rPr>
          <w:sz w:val="24"/>
          <w:szCs w:val="24"/>
        </w:rPr>
        <w:t>Le Semestre européen devrait comporter une véritable dimension territoriale et les réformes définies au niveau national ne devraient pas affecter les chapitres régionaux.</w:t>
      </w:r>
    </w:p>
    <w:p w14:paraId="76B2B685" w14:textId="77777777" w:rsidR="00897FC3" w:rsidRPr="00BE55A7" w:rsidRDefault="00897FC3" w:rsidP="00897FC3">
      <w:pPr>
        <w:spacing w:after="0" w:line="240" w:lineRule="auto"/>
        <w:jc w:val="both"/>
        <w:rPr>
          <w:sz w:val="24"/>
          <w:szCs w:val="24"/>
        </w:rPr>
      </w:pPr>
    </w:p>
    <w:p w14:paraId="0DA9FBB1" w14:textId="1825A189" w:rsidR="00897FC3" w:rsidRPr="00BE55A7" w:rsidRDefault="00897FC3" w:rsidP="00897FC3">
      <w:pPr>
        <w:spacing w:after="0" w:line="240" w:lineRule="auto"/>
        <w:jc w:val="both"/>
        <w:rPr>
          <w:sz w:val="24"/>
          <w:szCs w:val="24"/>
          <w:u w:val="single"/>
        </w:rPr>
      </w:pPr>
      <w:r w:rsidRPr="00BE55A7">
        <w:rPr>
          <w:sz w:val="24"/>
          <w:szCs w:val="24"/>
          <w:u w:val="single"/>
        </w:rPr>
        <w:t>Les régions demandent donc :</w:t>
      </w:r>
    </w:p>
    <w:p w14:paraId="3E2D5F00" w14:textId="59983140" w:rsidR="00897FC3" w:rsidRPr="00BE55A7" w:rsidRDefault="00716188" w:rsidP="00897FC3">
      <w:pPr>
        <w:pStyle w:val="Paragraphedeliste"/>
        <w:numPr>
          <w:ilvl w:val="0"/>
          <w:numId w:val="7"/>
        </w:numPr>
        <w:spacing w:after="0" w:line="240" w:lineRule="auto"/>
        <w:jc w:val="both"/>
        <w:rPr>
          <w:sz w:val="24"/>
          <w:szCs w:val="24"/>
        </w:rPr>
      </w:pPr>
      <w:r w:rsidRPr="00BE55A7">
        <w:rPr>
          <w:sz w:val="24"/>
          <w:szCs w:val="24"/>
        </w:rPr>
        <w:t>Une</w:t>
      </w:r>
      <w:r w:rsidR="00897FC3" w:rsidRPr="00BE55A7">
        <w:rPr>
          <w:sz w:val="24"/>
          <w:szCs w:val="24"/>
        </w:rPr>
        <w:t xml:space="preserve"> modernisation du Semestre européen par </w:t>
      </w:r>
      <w:r w:rsidR="00897FC3" w:rsidRPr="00BE55A7">
        <w:rPr>
          <w:b/>
          <w:bCs/>
          <w:sz w:val="24"/>
          <w:szCs w:val="24"/>
        </w:rPr>
        <w:t>un renforcement de la dimension infranationale</w:t>
      </w:r>
      <w:r w:rsidR="00897FC3" w:rsidRPr="00BE55A7">
        <w:rPr>
          <w:sz w:val="24"/>
          <w:szCs w:val="24"/>
        </w:rPr>
        <w:t xml:space="preserve"> des rapports nationaux et des recommandations spécifiques à chaque pays ; </w:t>
      </w:r>
    </w:p>
    <w:p w14:paraId="7AE807E4" w14:textId="38FD9DB1" w:rsidR="00897FC3" w:rsidRPr="00BE55A7" w:rsidRDefault="00716188" w:rsidP="00897FC3">
      <w:pPr>
        <w:pStyle w:val="Paragraphedeliste"/>
        <w:numPr>
          <w:ilvl w:val="0"/>
          <w:numId w:val="7"/>
        </w:numPr>
        <w:spacing w:after="0" w:line="240" w:lineRule="auto"/>
        <w:jc w:val="both"/>
        <w:rPr>
          <w:sz w:val="24"/>
          <w:szCs w:val="24"/>
        </w:rPr>
      </w:pPr>
      <w:r w:rsidRPr="00BE55A7">
        <w:rPr>
          <w:sz w:val="24"/>
          <w:szCs w:val="24"/>
        </w:rPr>
        <w:t>Q</w:t>
      </w:r>
      <w:r w:rsidR="00897FC3" w:rsidRPr="00BE55A7">
        <w:rPr>
          <w:sz w:val="24"/>
          <w:szCs w:val="24"/>
        </w:rPr>
        <w:t xml:space="preserve">ue les paiements liés à un volet régional/territorial ne soient pas suspendus, réduits ou retardés en raison du non-respect des réformes définies au niveau national ou des investissements ne relevant pas de la responsabilité ou du contrôle des autorités régionales et locales ; </w:t>
      </w:r>
    </w:p>
    <w:p w14:paraId="4FE49F8B" w14:textId="25A5EB60" w:rsidR="00897FC3" w:rsidRPr="00BE55A7" w:rsidRDefault="00897FC3" w:rsidP="00897FC3">
      <w:pPr>
        <w:pStyle w:val="Paragraphedeliste"/>
        <w:numPr>
          <w:ilvl w:val="0"/>
          <w:numId w:val="7"/>
        </w:numPr>
        <w:spacing w:after="0" w:line="240" w:lineRule="auto"/>
        <w:jc w:val="both"/>
        <w:rPr>
          <w:sz w:val="24"/>
          <w:szCs w:val="24"/>
        </w:rPr>
      </w:pPr>
      <w:r w:rsidRPr="00BE55A7">
        <w:rPr>
          <w:sz w:val="24"/>
          <w:szCs w:val="24"/>
        </w:rPr>
        <w:t xml:space="preserve">Un Semestre européen fondé sur une approche stratégique pluriannuelle. </w:t>
      </w:r>
    </w:p>
    <w:p w14:paraId="7167B57E" w14:textId="77777777" w:rsidR="00897FC3" w:rsidRPr="00BE55A7" w:rsidRDefault="00897FC3" w:rsidP="00897FC3">
      <w:pPr>
        <w:spacing w:after="0" w:line="240" w:lineRule="auto"/>
        <w:jc w:val="both"/>
        <w:rPr>
          <w:sz w:val="24"/>
          <w:szCs w:val="24"/>
        </w:rPr>
      </w:pPr>
    </w:p>
    <w:p w14:paraId="00031369" w14:textId="77777777" w:rsidR="00BE55A7" w:rsidRPr="00BE55A7" w:rsidRDefault="00BE55A7" w:rsidP="00897FC3">
      <w:pPr>
        <w:spacing w:after="0" w:line="240" w:lineRule="auto"/>
        <w:jc w:val="both"/>
        <w:rPr>
          <w:sz w:val="24"/>
          <w:szCs w:val="24"/>
        </w:rPr>
      </w:pPr>
    </w:p>
    <w:p w14:paraId="61F29A12" w14:textId="50F1F277" w:rsidR="00897FC3" w:rsidRPr="00BE55A7" w:rsidRDefault="00897FC3" w:rsidP="00897FC3">
      <w:pPr>
        <w:pStyle w:val="Paragraphedeliste"/>
        <w:numPr>
          <w:ilvl w:val="0"/>
          <w:numId w:val="3"/>
        </w:numPr>
        <w:spacing w:after="0" w:line="240" w:lineRule="auto"/>
        <w:jc w:val="both"/>
        <w:rPr>
          <w:b/>
          <w:bCs/>
          <w:sz w:val="24"/>
          <w:szCs w:val="24"/>
        </w:rPr>
      </w:pPr>
      <w:r w:rsidRPr="00BE55A7">
        <w:rPr>
          <w:b/>
          <w:bCs/>
          <w:sz w:val="24"/>
          <w:szCs w:val="24"/>
        </w:rPr>
        <w:t>Les règles financières et de gestion doivent garantir à la fois la responsabilité et des conditions de mise en œuvre réalistes</w:t>
      </w:r>
    </w:p>
    <w:p w14:paraId="5F8C3451" w14:textId="77777777" w:rsidR="00BE55A7" w:rsidRPr="00BE55A7" w:rsidRDefault="00BE55A7" w:rsidP="00897FC3">
      <w:pPr>
        <w:spacing w:after="0" w:line="240" w:lineRule="auto"/>
        <w:jc w:val="both"/>
        <w:rPr>
          <w:sz w:val="24"/>
          <w:szCs w:val="24"/>
        </w:rPr>
      </w:pPr>
    </w:p>
    <w:p w14:paraId="621D76F9" w14:textId="78729A09" w:rsidR="00897FC3" w:rsidRPr="00BE55A7" w:rsidRDefault="00897FC3" w:rsidP="00897FC3">
      <w:pPr>
        <w:spacing w:after="0" w:line="240" w:lineRule="auto"/>
        <w:jc w:val="both"/>
        <w:rPr>
          <w:sz w:val="24"/>
          <w:szCs w:val="24"/>
        </w:rPr>
      </w:pPr>
      <w:r w:rsidRPr="00BE55A7">
        <w:rPr>
          <w:sz w:val="24"/>
          <w:szCs w:val="24"/>
        </w:rPr>
        <w:t>L'expérience directe des régions sur le terrain offre une perspective claire sur la nécessité de disposer de règles financières et de gestion réalistes et applicables.</w:t>
      </w:r>
    </w:p>
    <w:p w14:paraId="7ACDE836" w14:textId="77777777" w:rsidR="00897FC3" w:rsidRPr="00BE55A7" w:rsidRDefault="00897FC3" w:rsidP="00897FC3">
      <w:pPr>
        <w:spacing w:after="0" w:line="240" w:lineRule="auto"/>
        <w:jc w:val="both"/>
        <w:rPr>
          <w:sz w:val="24"/>
          <w:szCs w:val="24"/>
        </w:rPr>
      </w:pPr>
    </w:p>
    <w:p w14:paraId="1F6A06CD" w14:textId="5751DE67" w:rsidR="00897FC3" w:rsidRPr="00BE55A7" w:rsidRDefault="00897FC3" w:rsidP="00897FC3">
      <w:pPr>
        <w:spacing w:after="0" w:line="240" w:lineRule="auto"/>
        <w:jc w:val="both"/>
        <w:rPr>
          <w:sz w:val="24"/>
          <w:szCs w:val="24"/>
          <w:u w:val="single"/>
        </w:rPr>
      </w:pPr>
      <w:r w:rsidRPr="00BE55A7">
        <w:rPr>
          <w:sz w:val="24"/>
          <w:szCs w:val="24"/>
          <w:u w:val="single"/>
        </w:rPr>
        <w:t>Les régions demandent donc :</w:t>
      </w:r>
    </w:p>
    <w:p w14:paraId="5768E6BB" w14:textId="65C6DBF5" w:rsidR="00897FC3" w:rsidRPr="00BE55A7" w:rsidRDefault="00897FC3" w:rsidP="00897FC3">
      <w:pPr>
        <w:pStyle w:val="Paragraphedeliste"/>
        <w:numPr>
          <w:ilvl w:val="0"/>
          <w:numId w:val="7"/>
        </w:numPr>
        <w:spacing w:after="0" w:line="240" w:lineRule="auto"/>
        <w:jc w:val="both"/>
        <w:rPr>
          <w:sz w:val="24"/>
          <w:szCs w:val="24"/>
        </w:rPr>
      </w:pPr>
      <w:r w:rsidRPr="00BE55A7">
        <w:rPr>
          <w:sz w:val="24"/>
          <w:szCs w:val="24"/>
        </w:rPr>
        <w:t xml:space="preserve">Le maintien du </w:t>
      </w:r>
      <w:r w:rsidRPr="00BE55A7">
        <w:rPr>
          <w:b/>
          <w:bCs/>
          <w:sz w:val="24"/>
          <w:szCs w:val="24"/>
        </w:rPr>
        <w:t xml:space="preserve">système de dégagement </w:t>
      </w:r>
      <w:r w:rsidR="00B86011" w:rsidRPr="00BE55A7">
        <w:rPr>
          <w:b/>
          <w:bCs/>
          <w:sz w:val="24"/>
          <w:szCs w:val="24"/>
        </w:rPr>
        <w:t xml:space="preserve">d’office </w:t>
      </w:r>
      <w:r w:rsidRPr="00BE55A7">
        <w:rPr>
          <w:b/>
          <w:bCs/>
          <w:sz w:val="24"/>
          <w:szCs w:val="24"/>
        </w:rPr>
        <w:t>N+3</w:t>
      </w:r>
      <w:r w:rsidRPr="00BE55A7">
        <w:rPr>
          <w:sz w:val="24"/>
          <w:szCs w:val="24"/>
        </w:rPr>
        <w:t xml:space="preserve"> ;</w:t>
      </w:r>
    </w:p>
    <w:p w14:paraId="3A2AD55E" w14:textId="46B45611" w:rsidR="00897FC3" w:rsidRPr="00BE55A7" w:rsidRDefault="00897FC3" w:rsidP="00897FC3">
      <w:pPr>
        <w:pStyle w:val="Paragraphedeliste"/>
        <w:numPr>
          <w:ilvl w:val="0"/>
          <w:numId w:val="7"/>
        </w:numPr>
        <w:spacing w:after="0" w:line="240" w:lineRule="auto"/>
        <w:jc w:val="both"/>
        <w:rPr>
          <w:sz w:val="24"/>
          <w:szCs w:val="24"/>
        </w:rPr>
      </w:pPr>
      <w:r w:rsidRPr="00BE55A7">
        <w:rPr>
          <w:sz w:val="24"/>
          <w:szCs w:val="24"/>
        </w:rPr>
        <w:t>Un assouplissement de la transition entre les deux périodes de programmation ;</w:t>
      </w:r>
    </w:p>
    <w:p w14:paraId="25CB7473" w14:textId="0CD01D3F" w:rsidR="00897FC3" w:rsidRPr="00BE55A7" w:rsidRDefault="00897FC3" w:rsidP="00897FC3">
      <w:pPr>
        <w:pStyle w:val="Paragraphedeliste"/>
        <w:numPr>
          <w:ilvl w:val="0"/>
          <w:numId w:val="7"/>
        </w:numPr>
        <w:spacing w:after="0" w:line="240" w:lineRule="auto"/>
        <w:jc w:val="both"/>
        <w:rPr>
          <w:sz w:val="24"/>
          <w:szCs w:val="24"/>
        </w:rPr>
      </w:pPr>
      <w:r w:rsidRPr="00BE55A7">
        <w:rPr>
          <w:sz w:val="24"/>
          <w:szCs w:val="24"/>
        </w:rPr>
        <w:t xml:space="preserve">Une augmentation du taux de </w:t>
      </w:r>
      <w:r w:rsidRPr="00BE55A7">
        <w:rPr>
          <w:b/>
          <w:bCs/>
          <w:sz w:val="24"/>
          <w:szCs w:val="24"/>
        </w:rPr>
        <w:t>préfinancement</w:t>
      </w:r>
      <w:r w:rsidRPr="00BE55A7">
        <w:rPr>
          <w:sz w:val="24"/>
          <w:szCs w:val="24"/>
        </w:rPr>
        <w:t xml:space="preserve"> de 10 % à 13 % ;</w:t>
      </w:r>
    </w:p>
    <w:p w14:paraId="59307877" w14:textId="1267A4CE" w:rsidR="00897FC3" w:rsidRPr="00BE55A7" w:rsidRDefault="00897FC3" w:rsidP="00897FC3">
      <w:pPr>
        <w:pStyle w:val="Paragraphedeliste"/>
        <w:numPr>
          <w:ilvl w:val="0"/>
          <w:numId w:val="7"/>
        </w:numPr>
        <w:spacing w:after="0" w:line="240" w:lineRule="auto"/>
        <w:jc w:val="both"/>
        <w:rPr>
          <w:sz w:val="24"/>
          <w:szCs w:val="24"/>
        </w:rPr>
      </w:pPr>
      <w:r w:rsidRPr="00BE55A7">
        <w:rPr>
          <w:sz w:val="24"/>
          <w:szCs w:val="24"/>
        </w:rPr>
        <w:t>De limiter le montant de la marge de flexibilité à 10 % ;</w:t>
      </w:r>
    </w:p>
    <w:p w14:paraId="0E845026" w14:textId="48653632" w:rsidR="00897FC3" w:rsidRPr="00BE55A7" w:rsidRDefault="00897FC3" w:rsidP="00897FC3">
      <w:pPr>
        <w:pStyle w:val="Paragraphedeliste"/>
        <w:numPr>
          <w:ilvl w:val="0"/>
          <w:numId w:val="7"/>
        </w:numPr>
        <w:spacing w:after="0" w:line="240" w:lineRule="auto"/>
        <w:jc w:val="both"/>
        <w:rPr>
          <w:sz w:val="24"/>
          <w:szCs w:val="24"/>
        </w:rPr>
      </w:pPr>
      <w:r w:rsidRPr="00BE55A7">
        <w:rPr>
          <w:sz w:val="24"/>
          <w:szCs w:val="24"/>
        </w:rPr>
        <w:t xml:space="preserve">D’augmenter le montant des fonds alloués à </w:t>
      </w:r>
      <w:r w:rsidRPr="00BE55A7">
        <w:rPr>
          <w:b/>
          <w:bCs/>
          <w:sz w:val="24"/>
          <w:szCs w:val="24"/>
        </w:rPr>
        <w:t>l’assistance technique</w:t>
      </w:r>
      <w:r w:rsidRPr="00BE55A7">
        <w:rPr>
          <w:sz w:val="24"/>
          <w:szCs w:val="24"/>
        </w:rPr>
        <w:t xml:space="preserve"> </w:t>
      </w:r>
      <w:r w:rsidRPr="00BE55A7">
        <w:rPr>
          <w:b/>
          <w:bCs/>
          <w:sz w:val="24"/>
          <w:szCs w:val="24"/>
        </w:rPr>
        <w:t>à au moins 5 %</w:t>
      </w:r>
      <w:r w:rsidRPr="00BE55A7">
        <w:rPr>
          <w:sz w:val="24"/>
          <w:szCs w:val="24"/>
        </w:rPr>
        <w:t xml:space="preserve"> tant dans le plan national que dans les chapitres régionaux ;</w:t>
      </w:r>
    </w:p>
    <w:p w14:paraId="54280E92" w14:textId="50B3D796" w:rsidR="00897FC3" w:rsidRPr="00BE55A7" w:rsidRDefault="00897FC3" w:rsidP="00897FC3">
      <w:pPr>
        <w:pStyle w:val="Paragraphedeliste"/>
        <w:numPr>
          <w:ilvl w:val="0"/>
          <w:numId w:val="7"/>
        </w:numPr>
        <w:spacing w:after="0" w:line="240" w:lineRule="auto"/>
        <w:jc w:val="both"/>
        <w:rPr>
          <w:sz w:val="24"/>
          <w:szCs w:val="24"/>
        </w:rPr>
      </w:pPr>
      <w:r w:rsidRPr="00BE55A7">
        <w:rPr>
          <w:sz w:val="24"/>
          <w:szCs w:val="24"/>
        </w:rPr>
        <w:t>De simplifier le cadre relatif à la mise en œuvre des instruments financiers.</w:t>
      </w:r>
    </w:p>
    <w:p w14:paraId="643C6521" w14:textId="77777777" w:rsidR="00897FC3" w:rsidRPr="00BE55A7" w:rsidRDefault="00897FC3" w:rsidP="00897FC3">
      <w:pPr>
        <w:spacing w:after="0" w:line="240" w:lineRule="auto"/>
        <w:jc w:val="both"/>
        <w:rPr>
          <w:sz w:val="24"/>
          <w:szCs w:val="24"/>
        </w:rPr>
      </w:pPr>
    </w:p>
    <w:p w14:paraId="211212DC" w14:textId="77777777" w:rsidR="00B86011" w:rsidRPr="00BE55A7" w:rsidRDefault="00B86011" w:rsidP="00897FC3">
      <w:pPr>
        <w:spacing w:after="0" w:line="240" w:lineRule="auto"/>
        <w:jc w:val="both"/>
        <w:rPr>
          <w:sz w:val="24"/>
          <w:szCs w:val="24"/>
        </w:rPr>
      </w:pPr>
    </w:p>
    <w:p w14:paraId="753D76C3" w14:textId="451760E4" w:rsidR="00897FC3" w:rsidRPr="00BE55A7" w:rsidRDefault="00897FC3" w:rsidP="00897FC3">
      <w:pPr>
        <w:pStyle w:val="Paragraphedeliste"/>
        <w:numPr>
          <w:ilvl w:val="0"/>
          <w:numId w:val="3"/>
        </w:numPr>
        <w:spacing w:after="0" w:line="240" w:lineRule="auto"/>
        <w:jc w:val="both"/>
        <w:rPr>
          <w:b/>
          <w:bCs/>
          <w:sz w:val="24"/>
          <w:szCs w:val="24"/>
        </w:rPr>
      </w:pPr>
      <w:r w:rsidRPr="00BE55A7">
        <w:rPr>
          <w:b/>
          <w:bCs/>
          <w:sz w:val="24"/>
          <w:szCs w:val="24"/>
        </w:rPr>
        <w:lastRenderedPageBreak/>
        <w:t>Coordination, cohérence et synergies entre la politique de cohésion et les autres programmes et instruments de l'Union, notamment en matière de compétitivité et de transition climatique</w:t>
      </w:r>
    </w:p>
    <w:p w14:paraId="365BBD1C" w14:textId="77777777" w:rsidR="00BE55A7" w:rsidRPr="00BE55A7" w:rsidRDefault="00BE55A7" w:rsidP="00897FC3">
      <w:pPr>
        <w:spacing w:after="0" w:line="240" w:lineRule="auto"/>
        <w:jc w:val="both"/>
        <w:rPr>
          <w:sz w:val="24"/>
          <w:szCs w:val="24"/>
        </w:rPr>
      </w:pPr>
    </w:p>
    <w:p w14:paraId="70FFA0D7" w14:textId="6137D7B9" w:rsidR="00897FC3" w:rsidRPr="00BE55A7" w:rsidRDefault="00897FC3" w:rsidP="00897FC3">
      <w:pPr>
        <w:spacing w:after="0" w:line="240" w:lineRule="auto"/>
        <w:jc w:val="both"/>
        <w:rPr>
          <w:sz w:val="24"/>
          <w:szCs w:val="24"/>
        </w:rPr>
      </w:pPr>
      <w:r w:rsidRPr="00BE55A7">
        <w:rPr>
          <w:sz w:val="24"/>
          <w:szCs w:val="24"/>
        </w:rPr>
        <w:t>En complément de la politique de cohésion, il convient d’envisager une implication régionale plus large dans la mise en œuvre des programmes gérés directement par la Commission européenne, notamment en ce qui concerne le Fonds européen pour la compétitivité (FEC).</w:t>
      </w:r>
    </w:p>
    <w:p w14:paraId="0A845A7F" w14:textId="77777777" w:rsidR="00897FC3" w:rsidRPr="00BE55A7" w:rsidRDefault="00897FC3" w:rsidP="00897FC3">
      <w:pPr>
        <w:spacing w:after="0" w:line="240" w:lineRule="auto"/>
        <w:jc w:val="both"/>
        <w:rPr>
          <w:sz w:val="24"/>
          <w:szCs w:val="24"/>
        </w:rPr>
      </w:pPr>
    </w:p>
    <w:p w14:paraId="6B286637" w14:textId="060FFB88" w:rsidR="00897FC3" w:rsidRPr="00BE55A7" w:rsidRDefault="00897FC3" w:rsidP="00897FC3">
      <w:pPr>
        <w:spacing w:after="0" w:line="240" w:lineRule="auto"/>
        <w:jc w:val="both"/>
        <w:rPr>
          <w:sz w:val="24"/>
          <w:szCs w:val="24"/>
        </w:rPr>
      </w:pPr>
      <w:r w:rsidRPr="00BE55A7">
        <w:rPr>
          <w:sz w:val="24"/>
          <w:szCs w:val="24"/>
        </w:rPr>
        <w:t xml:space="preserve">En matière de compétitivité, </w:t>
      </w:r>
      <w:r w:rsidRPr="00BE55A7">
        <w:rPr>
          <w:b/>
          <w:bCs/>
          <w:sz w:val="24"/>
          <w:szCs w:val="24"/>
        </w:rPr>
        <w:t xml:space="preserve">la </w:t>
      </w:r>
      <w:r w:rsidR="00B86011" w:rsidRPr="00BE55A7">
        <w:rPr>
          <w:b/>
          <w:bCs/>
          <w:sz w:val="24"/>
          <w:szCs w:val="24"/>
        </w:rPr>
        <w:t xml:space="preserve">Stratégie de </w:t>
      </w:r>
      <w:r w:rsidRPr="00BE55A7">
        <w:rPr>
          <w:b/>
          <w:bCs/>
          <w:sz w:val="24"/>
          <w:szCs w:val="24"/>
        </w:rPr>
        <w:t>spécialisation intelligente</w:t>
      </w:r>
      <w:r w:rsidR="00B86011" w:rsidRPr="00BE55A7">
        <w:rPr>
          <w:b/>
          <w:bCs/>
          <w:sz w:val="24"/>
          <w:szCs w:val="24"/>
        </w:rPr>
        <w:t xml:space="preserve"> (S3)</w:t>
      </w:r>
      <w:r w:rsidRPr="00BE55A7">
        <w:rPr>
          <w:sz w:val="24"/>
          <w:szCs w:val="24"/>
        </w:rPr>
        <w:t xml:space="preserve"> a été reconnue tant par le Parlement européen que par le Conseil comme un instrument fondamental pour soutenir la recherche, l’innovation et la croissance. Cette approche stratégique ne bénéficie toutefois pas d’un lien clair avec les possibilités de financement qui pourraient découler directement du F</w:t>
      </w:r>
      <w:r w:rsidR="00B86011" w:rsidRPr="00BE55A7">
        <w:rPr>
          <w:sz w:val="24"/>
          <w:szCs w:val="24"/>
        </w:rPr>
        <w:t>EC</w:t>
      </w:r>
      <w:r w:rsidRPr="00BE55A7">
        <w:rPr>
          <w:sz w:val="24"/>
          <w:szCs w:val="24"/>
        </w:rPr>
        <w:t>.</w:t>
      </w:r>
    </w:p>
    <w:p w14:paraId="36596E9A" w14:textId="77777777" w:rsidR="00897FC3" w:rsidRPr="00BE55A7" w:rsidRDefault="00897FC3" w:rsidP="00897FC3">
      <w:pPr>
        <w:spacing w:after="0" w:line="240" w:lineRule="auto"/>
        <w:jc w:val="both"/>
        <w:rPr>
          <w:sz w:val="24"/>
          <w:szCs w:val="24"/>
        </w:rPr>
      </w:pPr>
    </w:p>
    <w:p w14:paraId="66E63BBA" w14:textId="4AF4D8C3" w:rsidR="00897FC3" w:rsidRPr="00BE55A7" w:rsidRDefault="00897FC3" w:rsidP="00897FC3">
      <w:pPr>
        <w:spacing w:after="0" w:line="240" w:lineRule="auto"/>
        <w:jc w:val="both"/>
        <w:rPr>
          <w:sz w:val="24"/>
          <w:szCs w:val="24"/>
          <w:u w:val="single"/>
        </w:rPr>
      </w:pPr>
      <w:r w:rsidRPr="00BE55A7">
        <w:rPr>
          <w:sz w:val="24"/>
          <w:szCs w:val="24"/>
          <w:u w:val="single"/>
        </w:rPr>
        <w:t>Les régions demandent donc :</w:t>
      </w:r>
    </w:p>
    <w:p w14:paraId="48F24A76" w14:textId="7565901B" w:rsidR="00897FC3" w:rsidRPr="00BE55A7" w:rsidRDefault="00897FC3" w:rsidP="00897FC3">
      <w:pPr>
        <w:pStyle w:val="Paragraphedeliste"/>
        <w:numPr>
          <w:ilvl w:val="0"/>
          <w:numId w:val="7"/>
        </w:numPr>
        <w:spacing w:after="0" w:line="240" w:lineRule="auto"/>
        <w:jc w:val="both"/>
        <w:rPr>
          <w:sz w:val="24"/>
          <w:szCs w:val="24"/>
        </w:rPr>
      </w:pPr>
      <w:r w:rsidRPr="00BE55A7">
        <w:rPr>
          <w:sz w:val="24"/>
          <w:szCs w:val="24"/>
        </w:rPr>
        <w:t xml:space="preserve">Que le rôle juridique et stratégique des </w:t>
      </w:r>
      <w:r w:rsidR="00B86011" w:rsidRPr="00BE55A7">
        <w:rPr>
          <w:sz w:val="24"/>
          <w:szCs w:val="24"/>
        </w:rPr>
        <w:t>S</w:t>
      </w:r>
      <w:r w:rsidR="001069CE" w:rsidRPr="00BE55A7">
        <w:rPr>
          <w:sz w:val="24"/>
          <w:szCs w:val="24"/>
        </w:rPr>
        <w:t>3 soit</w:t>
      </w:r>
      <w:r w:rsidRPr="00BE55A7">
        <w:rPr>
          <w:sz w:val="24"/>
          <w:szCs w:val="24"/>
        </w:rPr>
        <w:t xml:space="preserve"> maintenu au cours de la prochaine période de programmation et que leur mise en œuvre reste ancrée sur le territoire et intégrée dans les écosystèmes régionaux d’innovation ;</w:t>
      </w:r>
    </w:p>
    <w:p w14:paraId="05C1216B" w14:textId="7A26C387" w:rsidR="00897FC3" w:rsidRPr="00BE55A7" w:rsidRDefault="00897FC3" w:rsidP="00897FC3">
      <w:pPr>
        <w:pStyle w:val="Paragraphedeliste"/>
        <w:numPr>
          <w:ilvl w:val="0"/>
          <w:numId w:val="7"/>
        </w:numPr>
        <w:spacing w:after="0" w:line="240" w:lineRule="auto"/>
        <w:jc w:val="both"/>
        <w:rPr>
          <w:sz w:val="24"/>
          <w:szCs w:val="24"/>
        </w:rPr>
      </w:pPr>
      <w:r w:rsidRPr="00BE55A7">
        <w:rPr>
          <w:sz w:val="24"/>
          <w:szCs w:val="24"/>
        </w:rPr>
        <w:t>Que des liens plus solides et plus opérationnels soient établis avec le Fonds européen pour la compétitivité, afin de faciliter l’accès des écosystèmes régionaux d’innovation, dans le respect des règles relatives aux aides d’État.</w:t>
      </w:r>
    </w:p>
    <w:p w14:paraId="6F3096FF" w14:textId="77777777" w:rsidR="00897FC3" w:rsidRDefault="00897FC3" w:rsidP="00897FC3">
      <w:pPr>
        <w:spacing w:after="0" w:line="240" w:lineRule="auto"/>
        <w:jc w:val="both"/>
      </w:pPr>
    </w:p>
    <w:p w14:paraId="67035BA2" w14:textId="77777777" w:rsidR="00897FC3" w:rsidRDefault="00897FC3" w:rsidP="00897FC3">
      <w:pPr>
        <w:spacing w:after="0" w:line="240" w:lineRule="auto"/>
        <w:jc w:val="both"/>
      </w:pPr>
    </w:p>
    <w:p w14:paraId="3ED5E133" w14:textId="77777777" w:rsidR="00897FC3" w:rsidRDefault="00897FC3" w:rsidP="00897FC3">
      <w:pPr>
        <w:spacing w:after="0" w:line="240" w:lineRule="auto"/>
        <w:jc w:val="both"/>
      </w:pPr>
    </w:p>
    <w:p w14:paraId="303DE417" w14:textId="77777777" w:rsidR="00897FC3" w:rsidRDefault="00897FC3" w:rsidP="00897FC3">
      <w:pPr>
        <w:spacing w:after="0" w:line="240" w:lineRule="auto"/>
        <w:jc w:val="both"/>
      </w:pPr>
    </w:p>
    <w:p w14:paraId="50EAA78D" w14:textId="77777777" w:rsidR="00BE55A7" w:rsidRDefault="00BE55A7" w:rsidP="00897FC3">
      <w:pPr>
        <w:spacing w:after="0" w:line="240" w:lineRule="auto"/>
        <w:jc w:val="both"/>
      </w:pPr>
    </w:p>
    <w:p w14:paraId="63FFF9A4" w14:textId="77777777" w:rsidR="00BE55A7" w:rsidRDefault="00BE55A7" w:rsidP="00897FC3">
      <w:pPr>
        <w:spacing w:after="0" w:line="240" w:lineRule="auto"/>
        <w:jc w:val="both"/>
      </w:pPr>
    </w:p>
    <w:p w14:paraId="4EFD2EA6" w14:textId="77777777" w:rsidR="00BE55A7" w:rsidRDefault="00BE55A7" w:rsidP="00897FC3">
      <w:pPr>
        <w:spacing w:after="0" w:line="240" w:lineRule="auto"/>
        <w:jc w:val="both"/>
      </w:pPr>
    </w:p>
    <w:p w14:paraId="5618EAF8" w14:textId="77777777" w:rsidR="00BE55A7" w:rsidRDefault="00BE55A7" w:rsidP="00897FC3">
      <w:pPr>
        <w:spacing w:after="0" w:line="240" w:lineRule="auto"/>
        <w:jc w:val="both"/>
      </w:pPr>
    </w:p>
    <w:p w14:paraId="00BD09DB" w14:textId="77777777" w:rsidR="00BE55A7" w:rsidRDefault="00BE55A7" w:rsidP="00897FC3">
      <w:pPr>
        <w:spacing w:after="0" w:line="240" w:lineRule="auto"/>
        <w:jc w:val="both"/>
      </w:pPr>
    </w:p>
    <w:p w14:paraId="19B0F290" w14:textId="77777777" w:rsidR="00BE55A7" w:rsidRDefault="00BE55A7" w:rsidP="00897FC3">
      <w:pPr>
        <w:spacing w:after="0" w:line="240" w:lineRule="auto"/>
        <w:jc w:val="both"/>
      </w:pPr>
    </w:p>
    <w:p w14:paraId="6BE8CB39" w14:textId="77777777" w:rsidR="00BE55A7" w:rsidRDefault="00BE55A7" w:rsidP="00897FC3">
      <w:pPr>
        <w:spacing w:after="0" w:line="240" w:lineRule="auto"/>
        <w:jc w:val="both"/>
      </w:pPr>
    </w:p>
    <w:p w14:paraId="2D7C2B8E" w14:textId="77777777" w:rsidR="00BE55A7" w:rsidRDefault="00BE55A7" w:rsidP="00897FC3">
      <w:pPr>
        <w:spacing w:after="0" w:line="240" w:lineRule="auto"/>
        <w:jc w:val="both"/>
      </w:pPr>
    </w:p>
    <w:p w14:paraId="79FCFCF0" w14:textId="77777777" w:rsidR="00BE55A7" w:rsidRDefault="00BE55A7" w:rsidP="00897FC3">
      <w:pPr>
        <w:spacing w:after="0" w:line="240" w:lineRule="auto"/>
        <w:jc w:val="both"/>
      </w:pPr>
    </w:p>
    <w:p w14:paraId="4FC221BB" w14:textId="77777777" w:rsidR="00BE55A7" w:rsidRDefault="00BE55A7" w:rsidP="00897FC3">
      <w:pPr>
        <w:spacing w:after="0" w:line="240" w:lineRule="auto"/>
        <w:jc w:val="both"/>
      </w:pPr>
    </w:p>
    <w:p w14:paraId="1B706365" w14:textId="77777777" w:rsidR="00BE55A7" w:rsidRDefault="00BE55A7" w:rsidP="00897FC3">
      <w:pPr>
        <w:spacing w:after="0" w:line="240" w:lineRule="auto"/>
        <w:jc w:val="both"/>
      </w:pPr>
    </w:p>
    <w:p w14:paraId="7C114532" w14:textId="77777777" w:rsidR="00BE55A7" w:rsidRDefault="00BE55A7" w:rsidP="00897FC3">
      <w:pPr>
        <w:spacing w:after="0" w:line="240" w:lineRule="auto"/>
        <w:jc w:val="both"/>
      </w:pPr>
    </w:p>
    <w:p w14:paraId="220E4BE5" w14:textId="77777777" w:rsidR="00BE55A7" w:rsidRDefault="00BE55A7" w:rsidP="00897FC3">
      <w:pPr>
        <w:spacing w:after="0" w:line="240" w:lineRule="auto"/>
        <w:jc w:val="both"/>
      </w:pPr>
    </w:p>
    <w:p w14:paraId="397E39D9" w14:textId="77777777" w:rsidR="00BE55A7" w:rsidRDefault="00BE55A7" w:rsidP="00897FC3">
      <w:pPr>
        <w:spacing w:after="0" w:line="240" w:lineRule="auto"/>
        <w:jc w:val="both"/>
      </w:pPr>
    </w:p>
    <w:p w14:paraId="11BCDF8C" w14:textId="77777777" w:rsidR="00BE55A7" w:rsidRDefault="00BE55A7" w:rsidP="00897FC3">
      <w:pPr>
        <w:spacing w:after="0" w:line="240" w:lineRule="auto"/>
        <w:jc w:val="both"/>
      </w:pPr>
    </w:p>
    <w:p w14:paraId="36E10D5A" w14:textId="77777777" w:rsidR="00BE55A7" w:rsidRDefault="00BE55A7" w:rsidP="00897FC3">
      <w:pPr>
        <w:spacing w:after="0" w:line="240" w:lineRule="auto"/>
        <w:jc w:val="both"/>
      </w:pPr>
    </w:p>
    <w:p w14:paraId="4C3BB285" w14:textId="77777777" w:rsidR="00BE55A7" w:rsidRDefault="00BE55A7" w:rsidP="00897FC3">
      <w:pPr>
        <w:spacing w:after="0" w:line="240" w:lineRule="auto"/>
        <w:jc w:val="both"/>
      </w:pPr>
    </w:p>
    <w:p w14:paraId="0617B3AA" w14:textId="77777777" w:rsidR="00897FC3" w:rsidRDefault="00897FC3" w:rsidP="00897FC3">
      <w:pPr>
        <w:spacing w:after="0" w:line="240" w:lineRule="auto"/>
        <w:jc w:val="both"/>
      </w:pPr>
    </w:p>
    <w:p w14:paraId="479537C4" w14:textId="32490D76" w:rsidR="00897FC3" w:rsidRPr="00897FC3" w:rsidRDefault="00897FC3" w:rsidP="00897FC3">
      <w:pPr>
        <w:spacing w:after="0" w:line="240" w:lineRule="auto"/>
        <w:jc w:val="both"/>
      </w:pPr>
      <w:r w:rsidRPr="00897FC3">
        <w:rPr>
          <w:i/>
          <w:iCs/>
        </w:rPr>
        <w:t>La coalition EUregions4cohesion est coordonnée par la région Nouvelle-Aquitaine et la région Émilie-Romagne</w:t>
      </w:r>
    </w:p>
    <w:sectPr w:rsidR="00897FC3" w:rsidRPr="00897FC3">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6A95C" w14:textId="77777777" w:rsidR="00BE55A7" w:rsidRDefault="00BE55A7" w:rsidP="00BE55A7">
      <w:pPr>
        <w:spacing w:after="0" w:line="240" w:lineRule="auto"/>
      </w:pPr>
      <w:r>
        <w:separator/>
      </w:r>
    </w:p>
  </w:endnote>
  <w:endnote w:type="continuationSeparator" w:id="0">
    <w:p w14:paraId="07A85EE7" w14:textId="77777777" w:rsidR="00BE55A7" w:rsidRDefault="00BE55A7" w:rsidP="00BE5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B8A0F" w14:textId="77777777" w:rsidR="00BE55A7" w:rsidRDefault="00BE55A7">
    <w:pPr>
      <w:pStyle w:val="Pieddepage"/>
      <w:jc w:val="right"/>
    </w:pPr>
    <w:r>
      <w:t xml:space="preserve"> Document de position (« Position paper ») – Euregions4cohesion – Septembre 2026 </w:t>
    </w:r>
  </w:p>
  <w:p w14:paraId="12570F40" w14:textId="709176E8" w:rsidR="00BE55A7" w:rsidRDefault="00BE55A7">
    <w:pPr>
      <w:pStyle w:val="Pieddepage"/>
      <w:jc w:val="right"/>
    </w:pPr>
    <w:r>
      <w:t xml:space="preserve"> Traduction de courtoisie en FR            </w:t>
    </w:r>
    <w:sdt>
      <w:sdtPr>
        <w:id w:val="-653535894"/>
        <w:docPartObj>
          <w:docPartGallery w:val="Page Numbers (Bottom of Page)"/>
          <w:docPartUnique/>
        </w:docPartObj>
      </w:sdtPr>
      <w:sdtEndPr/>
      <w:sdtContent>
        <w:r>
          <w:fldChar w:fldCharType="begin"/>
        </w:r>
        <w:r>
          <w:instrText>PAGE   \* MERGEFORMAT</w:instrText>
        </w:r>
        <w:r>
          <w:fldChar w:fldCharType="separate"/>
        </w:r>
        <w:r>
          <w:t>2</w:t>
        </w:r>
        <w:r>
          <w:fldChar w:fldCharType="end"/>
        </w:r>
        <w:r>
          <w:t>/5</w:t>
        </w:r>
      </w:sdtContent>
    </w:sdt>
  </w:p>
  <w:p w14:paraId="7A1FA272" w14:textId="5A087AAC" w:rsidR="00BE55A7" w:rsidRDefault="00BE55A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794A0" w14:textId="77777777" w:rsidR="00BE55A7" w:rsidRDefault="00BE55A7" w:rsidP="00BE55A7">
      <w:pPr>
        <w:spacing w:after="0" w:line="240" w:lineRule="auto"/>
      </w:pPr>
      <w:r>
        <w:separator/>
      </w:r>
    </w:p>
  </w:footnote>
  <w:footnote w:type="continuationSeparator" w:id="0">
    <w:p w14:paraId="29C00F0F" w14:textId="77777777" w:rsidR="00BE55A7" w:rsidRDefault="00BE55A7" w:rsidP="00BE55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35639"/>
    <w:multiLevelType w:val="hybridMultilevel"/>
    <w:tmpl w:val="38E2833C"/>
    <w:lvl w:ilvl="0" w:tplc="71A2B2A4">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F46410D"/>
    <w:multiLevelType w:val="hybridMultilevel"/>
    <w:tmpl w:val="4B4C0056"/>
    <w:lvl w:ilvl="0" w:tplc="71A2B2A4">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A9B0D05"/>
    <w:multiLevelType w:val="hybridMultilevel"/>
    <w:tmpl w:val="792C0CBC"/>
    <w:lvl w:ilvl="0" w:tplc="71A2B2A4">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0A53030"/>
    <w:multiLevelType w:val="hybridMultilevel"/>
    <w:tmpl w:val="EE6C311C"/>
    <w:lvl w:ilvl="0" w:tplc="71A2B2A4">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3C46CB3"/>
    <w:multiLevelType w:val="hybridMultilevel"/>
    <w:tmpl w:val="B2587B8A"/>
    <w:lvl w:ilvl="0" w:tplc="71A2B2A4">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88967B5"/>
    <w:multiLevelType w:val="hybridMultilevel"/>
    <w:tmpl w:val="9F866C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7343F92"/>
    <w:multiLevelType w:val="hybridMultilevel"/>
    <w:tmpl w:val="FD4E20BE"/>
    <w:lvl w:ilvl="0" w:tplc="71A2B2A4">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F653434"/>
    <w:multiLevelType w:val="hybridMultilevel"/>
    <w:tmpl w:val="DBBEC4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76F01572"/>
    <w:multiLevelType w:val="hybridMultilevel"/>
    <w:tmpl w:val="F342B392"/>
    <w:lvl w:ilvl="0" w:tplc="71A2B2A4">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83576454">
    <w:abstractNumId w:val="5"/>
  </w:num>
  <w:num w:numId="2" w16cid:durableId="952830280">
    <w:abstractNumId w:val="3"/>
  </w:num>
  <w:num w:numId="3" w16cid:durableId="642546578">
    <w:abstractNumId w:val="7"/>
  </w:num>
  <w:num w:numId="4" w16cid:durableId="1530223148">
    <w:abstractNumId w:val="0"/>
  </w:num>
  <w:num w:numId="5" w16cid:durableId="786970873">
    <w:abstractNumId w:val="8"/>
  </w:num>
  <w:num w:numId="6" w16cid:durableId="1521317383">
    <w:abstractNumId w:val="2"/>
  </w:num>
  <w:num w:numId="7" w16cid:durableId="1346597653">
    <w:abstractNumId w:val="1"/>
  </w:num>
  <w:num w:numId="8" w16cid:durableId="60442880">
    <w:abstractNumId w:val="4"/>
  </w:num>
  <w:num w:numId="9" w16cid:durableId="5119901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302"/>
    <w:rsid w:val="001069CE"/>
    <w:rsid w:val="001A0777"/>
    <w:rsid w:val="002A380C"/>
    <w:rsid w:val="002F255F"/>
    <w:rsid w:val="003D19A0"/>
    <w:rsid w:val="0040509C"/>
    <w:rsid w:val="00456F95"/>
    <w:rsid w:val="00496BB8"/>
    <w:rsid w:val="004B0E9D"/>
    <w:rsid w:val="004C6886"/>
    <w:rsid w:val="00505BEB"/>
    <w:rsid w:val="0059425F"/>
    <w:rsid w:val="00594B6A"/>
    <w:rsid w:val="005A18EA"/>
    <w:rsid w:val="00636CBB"/>
    <w:rsid w:val="00716188"/>
    <w:rsid w:val="00751302"/>
    <w:rsid w:val="007C0EF7"/>
    <w:rsid w:val="00897FC3"/>
    <w:rsid w:val="00A83DB3"/>
    <w:rsid w:val="00B86011"/>
    <w:rsid w:val="00BE55A7"/>
    <w:rsid w:val="00D2788F"/>
    <w:rsid w:val="00E964B9"/>
    <w:rsid w:val="00FA126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36A06"/>
  <w15:chartTrackingRefBased/>
  <w15:docId w15:val="{9C00E084-9C45-4DD9-AFD2-39418379E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513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513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5130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5130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5130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5130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5130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5130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5130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5130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5130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5130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5130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5130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5130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5130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5130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51302"/>
    <w:rPr>
      <w:rFonts w:eastAsiaTheme="majorEastAsia" w:cstheme="majorBidi"/>
      <w:color w:val="272727" w:themeColor="text1" w:themeTint="D8"/>
    </w:rPr>
  </w:style>
  <w:style w:type="paragraph" w:styleId="Titre">
    <w:name w:val="Title"/>
    <w:basedOn w:val="Normal"/>
    <w:next w:val="Normal"/>
    <w:link w:val="TitreCar"/>
    <w:uiPriority w:val="10"/>
    <w:qFormat/>
    <w:rsid w:val="007513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5130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5130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5130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51302"/>
    <w:pPr>
      <w:spacing w:before="160"/>
      <w:jc w:val="center"/>
    </w:pPr>
    <w:rPr>
      <w:i/>
      <w:iCs/>
      <w:color w:val="404040" w:themeColor="text1" w:themeTint="BF"/>
    </w:rPr>
  </w:style>
  <w:style w:type="character" w:customStyle="1" w:styleId="CitationCar">
    <w:name w:val="Citation Car"/>
    <w:basedOn w:val="Policepardfaut"/>
    <w:link w:val="Citation"/>
    <w:uiPriority w:val="29"/>
    <w:rsid w:val="00751302"/>
    <w:rPr>
      <w:i/>
      <w:iCs/>
      <w:color w:val="404040" w:themeColor="text1" w:themeTint="BF"/>
    </w:rPr>
  </w:style>
  <w:style w:type="paragraph" w:styleId="Paragraphedeliste">
    <w:name w:val="List Paragraph"/>
    <w:basedOn w:val="Normal"/>
    <w:uiPriority w:val="34"/>
    <w:qFormat/>
    <w:rsid w:val="00751302"/>
    <w:pPr>
      <w:ind w:left="720"/>
      <w:contextualSpacing/>
    </w:pPr>
  </w:style>
  <w:style w:type="character" w:styleId="Accentuationintense">
    <w:name w:val="Intense Emphasis"/>
    <w:basedOn w:val="Policepardfaut"/>
    <w:uiPriority w:val="21"/>
    <w:qFormat/>
    <w:rsid w:val="00751302"/>
    <w:rPr>
      <w:i/>
      <w:iCs/>
      <w:color w:val="0F4761" w:themeColor="accent1" w:themeShade="BF"/>
    </w:rPr>
  </w:style>
  <w:style w:type="paragraph" w:styleId="Citationintense">
    <w:name w:val="Intense Quote"/>
    <w:basedOn w:val="Normal"/>
    <w:next w:val="Normal"/>
    <w:link w:val="CitationintenseCar"/>
    <w:uiPriority w:val="30"/>
    <w:qFormat/>
    <w:rsid w:val="007513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51302"/>
    <w:rPr>
      <w:i/>
      <w:iCs/>
      <w:color w:val="0F4761" w:themeColor="accent1" w:themeShade="BF"/>
    </w:rPr>
  </w:style>
  <w:style w:type="character" w:styleId="Rfrenceintense">
    <w:name w:val="Intense Reference"/>
    <w:basedOn w:val="Policepardfaut"/>
    <w:uiPriority w:val="32"/>
    <w:qFormat/>
    <w:rsid w:val="00751302"/>
    <w:rPr>
      <w:b/>
      <w:bCs/>
      <w:smallCaps/>
      <w:color w:val="0F4761" w:themeColor="accent1" w:themeShade="BF"/>
      <w:spacing w:val="5"/>
    </w:rPr>
  </w:style>
  <w:style w:type="paragraph" w:styleId="Rvision">
    <w:name w:val="Revision"/>
    <w:hidden/>
    <w:uiPriority w:val="99"/>
    <w:semiHidden/>
    <w:rsid w:val="005A18EA"/>
    <w:pPr>
      <w:spacing w:after="0" w:line="240" w:lineRule="auto"/>
    </w:pPr>
  </w:style>
  <w:style w:type="paragraph" w:styleId="En-tte">
    <w:name w:val="header"/>
    <w:basedOn w:val="Normal"/>
    <w:link w:val="En-tteCar"/>
    <w:uiPriority w:val="99"/>
    <w:unhideWhenUsed/>
    <w:rsid w:val="00BE55A7"/>
    <w:pPr>
      <w:tabs>
        <w:tab w:val="center" w:pos="4536"/>
        <w:tab w:val="right" w:pos="9072"/>
      </w:tabs>
      <w:spacing w:after="0" w:line="240" w:lineRule="auto"/>
    </w:pPr>
  </w:style>
  <w:style w:type="character" w:customStyle="1" w:styleId="En-tteCar">
    <w:name w:val="En-tête Car"/>
    <w:basedOn w:val="Policepardfaut"/>
    <w:link w:val="En-tte"/>
    <w:uiPriority w:val="99"/>
    <w:rsid w:val="00BE55A7"/>
  </w:style>
  <w:style w:type="paragraph" w:styleId="Pieddepage">
    <w:name w:val="footer"/>
    <w:basedOn w:val="Normal"/>
    <w:link w:val="PieddepageCar"/>
    <w:uiPriority w:val="99"/>
    <w:unhideWhenUsed/>
    <w:rsid w:val="00BE55A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E55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5</Pages>
  <Words>1934</Words>
  <Characters>10641</Characters>
  <Application>Microsoft Office Word</Application>
  <DocSecurity>0</DocSecurity>
  <Lines>88</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MAZZONE</dc:creator>
  <cp:keywords/>
  <dc:description/>
  <cp:lastModifiedBy>Vincent MAZZONE</cp:lastModifiedBy>
  <cp:revision>12</cp:revision>
  <dcterms:created xsi:type="dcterms:W3CDTF">2026-09-25T13:48:00Z</dcterms:created>
  <dcterms:modified xsi:type="dcterms:W3CDTF">2026-09-28T17:09:00Z</dcterms:modified>
</cp:coreProperties>
</file>