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C54C" w14:textId="2C8E3445" w:rsidR="00F85C88" w:rsidRDefault="00F85C88" w:rsidP="25BCDB08">
      <w:pPr>
        <w:spacing w:line="257" w:lineRule="auto"/>
        <w:jc w:val="center"/>
        <w:rPr>
          <w:rFonts w:ascii="Aptos" w:eastAsia="Aptos" w:hAnsi="Aptos" w:cs="Aptos"/>
          <w:b/>
          <w:bCs/>
          <w:sz w:val="32"/>
          <w:szCs w:val="32"/>
          <w:lang w:val="en-US"/>
        </w:rPr>
      </w:pPr>
    </w:p>
    <w:p w14:paraId="0F448E55" w14:textId="223BF09E" w:rsidR="00553B31" w:rsidRPr="00553B31" w:rsidRDefault="00553B31" w:rsidP="00553B31">
      <w:pPr>
        <w:spacing w:line="257" w:lineRule="auto"/>
        <w:jc w:val="center"/>
        <w:rPr>
          <w:b/>
          <w:bCs/>
          <w:sz w:val="32"/>
          <w:szCs w:val="32"/>
        </w:rPr>
      </w:pPr>
      <w:r w:rsidRPr="00553B31">
        <w:rPr>
          <w:b/>
          <w:bCs/>
          <w:sz w:val="32"/>
          <w:szCs w:val="32"/>
        </w:rPr>
        <w:t>DOCUMENT DE POSITION DES RÉGIONS EUROPÉENNES SUR LA POLITIQUE DE COHÉSION 2028-2034</w:t>
      </w:r>
    </w:p>
    <w:p w14:paraId="54151557" w14:textId="77777777" w:rsidR="00553B31" w:rsidRPr="00553B31" w:rsidRDefault="00553B31" w:rsidP="00553B31">
      <w:pPr>
        <w:spacing w:line="257" w:lineRule="auto"/>
        <w:jc w:val="center"/>
        <w:rPr>
          <w:b/>
          <w:bCs/>
          <w:sz w:val="32"/>
          <w:szCs w:val="32"/>
        </w:rPr>
      </w:pPr>
      <w:r w:rsidRPr="00553B31">
        <w:rPr>
          <w:b/>
          <w:bCs/>
          <w:sz w:val="32"/>
          <w:szCs w:val="32"/>
        </w:rPr>
        <w:t>EUregions4cohesion</w:t>
      </w:r>
    </w:p>
    <w:p w14:paraId="47E088DD" w14:textId="0891AE76" w:rsidR="00553B31" w:rsidRPr="00553B31" w:rsidRDefault="00553B31" w:rsidP="00553B31">
      <w:pPr>
        <w:spacing w:line="257" w:lineRule="auto"/>
        <w:jc w:val="center"/>
        <w:rPr>
          <w:b/>
          <w:bCs/>
          <w:sz w:val="28"/>
          <w:szCs w:val="28"/>
        </w:rPr>
      </w:pPr>
      <w:r w:rsidRPr="00553B31">
        <w:rPr>
          <w:b/>
          <w:bCs/>
          <w:sz w:val="32"/>
          <w:szCs w:val="32"/>
        </w:rPr>
        <w:t xml:space="preserve">Vers des </w:t>
      </w:r>
      <w:r w:rsidR="00CF738F">
        <w:rPr>
          <w:b/>
          <w:bCs/>
          <w:sz w:val="32"/>
          <w:szCs w:val="32"/>
        </w:rPr>
        <w:t>P</w:t>
      </w:r>
      <w:r w:rsidRPr="00553B31">
        <w:rPr>
          <w:b/>
          <w:bCs/>
          <w:sz w:val="32"/>
          <w:szCs w:val="32"/>
        </w:rPr>
        <w:t>lans de partenariat régiona</w:t>
      </w:r>
      <w:r>
        <w:rPr>
          <w:b/>
          <w:bCs/>
          <w:sz w:val="32"/>
          <w:szCs w:val="32"/>
        </w:rPr>
        <w:t>ux</w:t>
      </w:r>
    </w:p>
    <w:p w14:paraId="448565D6" w14:textId="22BA2A4B" w:rsidR="00553B31" w:rsidRPr="00553B31" w:rsidRDefault="00553B31" w:rsidP="25BCDB08">
      <w:pPr>
        <w:spacing w:line="257" w:lineRule="auto"/>
        <w:jc w:val="both"/>
      </w:pPr>
      <w:r>
        <w:t>Nous, les régions, sommes au cœur de l'Europe et le « visage » de l'Europe sur les territoires. Nous avons prouvé que nous étions les plus efficaces pour investir les ressources de l'UE de manière efficace et ciblée, faisant ainsi progresser le projet d'intégration européenne. Nous, les régions de la coalition EUregions4cohesion, reconnaissons l'ambition de la Commission européenne de favoriser une intégration plus forte entre les domaines politiques et les efforts visant à harmoniser davantage le cadre de performance des différents fonds. Cependant, il est inacceptable que cela se fasse au détriment de l'Europe des régions.</w:t>
      </w:r>
    </w:p>
    <w:p w14:paraId="0DF21A80" w14:textId="49D8927A" w:rsidR="00553B31" w:rsidRDefault="00553B31" w:rsidP="25BCDB08">
      <w:pPr>
        <w:spacing w:line="257" w:lineRule="auto"/>
        <w:jc w:val="both"/>
        <w:rPr>
          <w:rFonts w:ascii="Aptos" w:eastAsia="Aptos" w:hAnsi="Aptos" w:cs="Aptos"/>
          <w:lang w:val="fr-FR"/>
        </w:rPr>
      </w:pPr>
      <w:r>
        <w:rPr>
          <w:rFonts w:ascii="Aptos" w:eastAsia="Aptos" w:hAnsi="Aptos" w:cs="Aptos"/>
          <w:lang w:val="fr-FR"/>
        </w:rPr>
        <w:t xml:space="preserve">La coalition </w:t>
      </w:r>
      <w:r w:rsidRPr="00553B31">
        <w:rPr>
          <w:rFonts w:ascii="Aptos" w:eastAsia="Aptos" w:hAnsi="Aptos" w:cs="Aptos"/>
          <w:lang w:val="fr-FR"/>
        </w:rPr>
        <w:t>EUregions4cohesion s'oppose fermement à la renationalisation de la politique de cohésion et à l'affaiblissement des politiques territoriales à long terme. Nous demandons également un budget solide dédié à la cohésion et la participation pleine et active des autorités locales et régionales</w:t>
      </w:r>
      <w:r>
        <w:rPr>
          <w:rFonts w:ascii="Aptos" w:eastAsia="Aptos" w:hAnsi="Aptos" w:cs="Aptos"/>
          <w:lang w:val="fr-FR"/>
        </w:rPr>
        <w:t>,</w:t>
      </w:r>
      <w:r w:rsidRPr="00553B31">
        <w:rPr>
          <w:rFonts w:ascii="Aptos" w:eastAsia="Aptos" w:hAnsi="Aptos" w:cs="Aptos"/>
          <w:lang w:val="fr-FR"/>
        </w:rPr>
        <w:t xml:space="preserve"> tant dans la définition des priorités d'investissement que dans la mise en œuvre d</w:t>
      </w:r>
      <w:r>
        <w:rPr>
          <w:rFonts w:ascii="Aptos" w:eastAsia="Aptos" w:hAnsi="Aptos" w:cs="Aptos"/>
          <w:lang w:val="fr-FR"/>
        </w:rPr>
        <w:t xml:space="preserve">es </w:t>
      </w:r>
      <w:r w:rsidRPr="00553B31">
        <w:rPr>
          <w:rFonts w:ascii="Aptos" w:eastAsia="Aptos" w:hAnsi="Aptos" w:cs="Aptos"/>
          <w:lang w:val="fr-FR"/>
        </w:rPr>
        <w:t>interventions concrètes. Nous soulignons l'importance d'une politique axée sur le</w:t>
      </w:r>
      <w:r>
        <w:rPr>
          <w:rFonts w:ascii="Aptos" w:eastAsia="Aptos" w:hAnsi="Aptos" w:cs="Aptos"/>
          <w:lang w:val="fr-FR"/>
        </w:rPr>
        <w:t>s</w:t>
      </w:r>
      <w:r w:rsidRPr="00553B31">
        <w:rPr>
          <w:rFonts w:ascii="Aptos" w:eastAsia="Aptos" w:hAnsi="Aptos" w:cs="Aptos"/>
          <w:lang w:val="fr-FR"/>
        </w:rPr>
        <w:t xml:space="preserve"> territoire</w:t>
      </w:r>
      <w:r>
        <w:rPr>
          <w:rFonts w:ascii="Aptos" w:eastAsia="Aptos" w:hAnsi="Aptos" w:cs="Aptos"/>
          <w:lang w:val="fr-FR"/>
        </w:rPr>
        <w:t>s</w:t>
      </w:r>
      <w:r w:rsidRPr="00553B31">
        <w:rPr>
          <w:rFonts w:ascii="Aptos" w:eastAsia="Aptos" w:hAnsi="Aptos" w:cs="Aptos"/>
          <w:lang w:val="fr-FR"/>
        </w:rPr>
        <w:t xml:space="preserve"> afin de garantir que les régions puissent choisir des mesures efficaces qui exploitent leurs avantages comparatifs, s'adaptent aux caractéristiques territoriales spécifiques et soutiennent le renforcement des capacités afin de libérer le potentiel de développement des régions vulnérables. D'un point de vue démocratique et pour la légitimité à long terme du rôle de l'UE dans la lutte efficace contre les disparités régionales, il est essentiel que le niveau local et régional reste au centre de la politique de cohésion. Une politique de cohésion renouvelée nécessite un partenariat authentique et contraignant</w:t>
      </w:r>
      <w:r>
        <w:rPr>
          <w:rFonts w:ascii="Aptos" w:eastAsia="Aptos" w:hAnsi="Aptos" w:cs="Aptos"/>
          <w:lang w:val="fr-FR"/>
        </w:rPr>
        <w:t>,</w:t>
      </w:r>
      <w:r w:rsidRPr="00553B31">
        <w:rPr>
          <w:rFonts w:ascii="Aptos" w:eastAsia="Aptos" w:hAnsi="Aptos" w:cs="Aptos"/>
          <w:lang w:val="fr-FR"/>
        </w:rPr>
        <w:t xml:space="preserve"> et l'inclusion des régions. Les nouveaux </w:t>
      </w:r>
      <w:r>
        <w:rPr>
          <w:rFonts w:ascii="Aptos" w:eastAsia="Aptos" w:hAnsi="Aptos" w:cs="Aptos"/>
          <w:lang w:val="fr-FR"/>
        </w:rPr>
        <w:t>P</w:t>
      </w:r>
      <w:r w:rsidRPr="00553B31">
        <w:rPr>
          <w:rFonts w:ascii="Aptos" w:eastAsia="Aptos" w:hAnsi="Aptos" w:cs="Aptos"/>
          <w:lang w:val="fr-FR"/>
        </w:rPr>
        <w:t>lans de partenariat nationaux et régionaux (PPNR) impliquent une concurrence entre les politiques, les territoires et les domaines d'intervention :</w:t>
      </w:r>
    </w:p>
    <w:p w14:paraId="495E49CF" w14:textId="1371D48B" w:rsidR="00553B31" w:rsidRPr="00553B31" w:rsidRDefault="00553B31" w:rsidP="00C63AF9">
      <w:pPr>
        <w:pStyle w:val="Paragraphedeliste"/>
        <w:numPr>
          <w:ilvl w:val="0"/>
          <w:numId w:val="1"/>
        </w:numPr>
        <w:spacing w:line="257" w:lineRule="auto"/>
        <w:jc w:val="both"/>
        <w:rPr>
          <w:rFonts w:ascii="Aptos" w:eastAsia="Aptos" w:hAnsi="Aptos" w:cs="Aptos"/>
          <w:lang w:val="fr-FR"/>
        </w:rPr>
      </w:pPr>
      <w:r w:rsidRPr="00553B31">
        <w:rPr>
          <w:rFonts w:ascii="Aptos" w:eastAsia="Aptos" w:hAnsi="Aptos" w:cs="Aptos"/>
          <w:lang w:val="fr-FR"/>
        </w:rPr>
        <w:t>Entre les enveloppes budgétaires consacrées à la politique de cohésion</w:t>
      </w:r>
      <w:r w:rsidR="00702B86">
        <w:rPr>
          <w:rFonts w:ascii="Aptos" w:eastAsia="Aptos" w:hAnsi="Aptos" w:cs="Aptos"/>
          <w:lang w:val="fr-FR"/>
        </w:rPr>
        <w:t xml:space="preserve">, </w:t>
      </w:r>
      <w:r w:rsidRPr="00553B31">
        <w:rPr>
          <w:rFonts w:ascii="Aptos" w:eastAsia="Aptos" w:hAnsi="Aptos" w:cs="Aptos"/>
          <w:lang w:val="fr-FR"/>
        </w:rPr>
        <w:t xml:space="preserve">à la politique agricole commune (PAC) </w:t>
      </w:r>
      <w:r w:rsidR="00702B86">
        <w:rPr>
          <w:rFonts w:ascii="Aptos" w:eastAsia="Aptos" w:hAnsi="Aptos" w:cs="Aptos"/>
          <w:lang w:val="fr-FR"/>
        </w:rPr>
        <w:t xml:space="preserve">et d’autres politiques </w:t>
      </w:r>
      <w:r w:rsidRPr="00553B31">
        <w:rPr>
          <w:rFonts w:ascii="Aptos" w:eastAsia="Aptos" w:hAnsi="Aptos" w:cs="Aptos"/>
          <w:lang w:val="fr-FR"/>
        </w:rPr>
        <w:t xml:space="preserve">;  </w:t>
      </w:r>
    </w:p>
    <w:p w14:paraId="41426F21" w14:textId="35048BAA" w:rsidR="00553B31" w:rsidRPr="00553B31" w:rsidRDefault="00553B31" w:rsidP="00C63AF9">
      <w:pPr>
        <w:pStyle w:val="Paragraphedeliste"/>
        <w:numPr>
          <w:ilvl w:val="0"/>
          <w:numId w:val="1"/>
        </w:numPr>
        <w:spacing w:line="257" w:lineRule="auto"/>
        <w:jc w:val="both"/>
        <w:rPr>
          <w:rFonts w:ascii="Aptos" w:eastAsia="Aptos" w:hAnsi="Aptos" w:cs="Aptos"/>
          <w:lang w:val="fr-FR"/>
        </w:rPr>
      </w:pPr>
      <w:r w:rsidRPr="00553B31">
        <w:rPr>
          <w:rFonts w:ascii="Aptos" w:eastAsia="Aptos" w:hAnsi="Aptos" w:cs="Aptos"/>
          <w:lang w:val="fr-FR"/>
        </w:rPr>
        <w:t xml:space="preserve">Entre les catégories de régions (moins développées, en transition et plus développées, ainsi que d'autres types de territoires identifiés à l'annexe VII) ;  </w:t>
      </w:r>
    </w:p>
    <w:p w14:paraId="2CAE122A" w14:textId="2EC26843" w:rsidR="00553B31" w:rsidRPr="00553B31" w:rsidRDefault="00553B31" w:rsidP="00C63AF9">
      <w:pPr>
        <w:pStyle w:val="Paragraphedeliste"/>
        <w:numPr>
          <w:ilvl w:val="0"/>
          <w:numId w:val="1"/>
        </w:numPr>
        <w:spacing w:line="257" w:lineRule="auto"/>
        <w:jc w:val="both"/>
        <w:rPr>
          <w:rFonts w:ascii="Aptos" w:eastAsia="Aptos" w:hAnsi="Aptos" w:cs="Aptos"/>
          <w:lang w:val="fr-FR"/>
        </w:rPr>
      </w:pPr>
      <w:r w:rsidRPr="00553B31">
        <w:rPr>
          <w:rFonts w:ascii="Aptos" w:eastAsia="Aptos" w:hAnsi="Aptos" w:cs="Aptos"/>
          <w:lang w:val="fr-FR"/>
        </w:rPr>
        <w:t xml:space="preserve">Entre les régions au sein de chaque catégorie ;  </w:t>
      </w:r>
    </w:p>
    <w:p w14:paraId="2CFBB28C" w14:textId="420E31D4" w:rsidR="00553B31" w:rsidRPr="00553B31" w:rsidRDefault="00553B31" w:rsidP="00C63AF9">
      <w:pPr>
        <w:pStyle w:val="Paragraphedeliste"/>
        <w:numPr>
          <w:ilvl w:val="0"/>
          <w:numId w:val="1"/>
        </w:numPr>
        <w:spacing w:line="257" w:lineRule="auto"/>
        <w:jc w:val="both"/>
        <w:rPr>
          <w:rFonts w:ascii="Aptos" w:eastAsia="Aptos" w:hAnsi="Aptos" w:cs="Aptos"/>
          <w:lang w:val="fr-FR"/>
        </w:rPr>
      </w:pPr>
      <w:r w:rsidRPr="00553B31">
        <w:rPr>
          <w:rFonts w:ascii="Aptos" w:eastAsia="Aptos" w:hAnsi="Aptos" w:cs="Aptos"/>
          <w:lang w:val="fr-FR"/>
        </w:rPr>
        <w:t xml:space="preserve">Entre les régions et les villes, ce qui pourrait entraîner la marginalisation des territoires les plus vulnérables. </w:t>
      </w:r>
    </w:p>
    <w:p w14:paraId="69048379" w14:textId="792755AE" w:rsidR="00553B31" w:rsidRPr="00553B31" w:rsidRDefault="00553B31" w:rsidP="00553B31">
      <w:pPr>
        <w:spacing w:line="257" w:lineRule="auto"/>
        <w:jc w:val="both"/>
        <w:rPr>
          <w:rFonts w:ascii="Aptos" w:eastAsia="Aptos" w:hAnsi="Aptos" w:cs="Aptos"/>
          <w:lang w:val="fr-FR"/>
        </w:rPr>
      </w:pPr>
      <w:r w:rsidRPr="00553B31">
        <w:rPr>
          <w:rFonts w:ascii="Aptos" w:eastAsia="Aptos" w:hAnsi="Aptos" w:cs="Aptos"/>
          <w:lang w:val="fr-FR"/>
        </w:rPr>
        <w:t>Les régions d</w:t>
      </w:r>
      <w:r>
        <w:rPr>
          <w:rFonts w:ascii="Aptos" w:eastAsia="Aptos" w:hAnsi="Aptos" w:cs="Aptos"/>
          <w:lang w:val="fr-FR"/>
        </w:rPr>
        <w:t xml:space="preserve">e l’alliance </w:t>
      </w:r>
      <w:r w:rsidRPr="00553B31">
        <w:rPr>
          <w:rFonts w:ascii="Aptos" w:eastAsia="Aptos" w:hAnsi="Aptos" w:cs="Aptos"/>
          <w:lang w:val="fr-FR"/>
        </w:rPr>
        <w:t>EUregions4cohesion réitèrent leur appel en faveur :</w:t>
      </w:r>
    </w:p>
    <w:p w14:paraId="6D34986A" w14:textId="573ECF54" w:rsidR="00553B31" w:rsidRPr="00553B31" w:rsidRDefault="00553B31" w:rsidP="00C63AF9">
      <w:pPr>
        <w:pStyle w:val="Paragraphedeliste"/>
        <w:numPr>
          <w:ilvl w:val="1"/>
          <w:numId w:val="2"/>
        </w:numPr>
        <w:spacing w:line="257" w:lineRule="auto"/>
        <w:ind w:left="709"/>
        <w:jc w:val="both"/>
        <w:rPr>
          <w:rFonts w:ascii="Aptos" w:eastAsia="Aptos" w:hAnsi="Aptos" w:cs="Aptos"/>
          <w:lang w:val="fr-FR"/>
        </w:rPr>
      </w:pPr>
      <w:r w:rsidRPr="00553B31">
        <w:rPr>
          <w:rFonts w:ascii="Aptos" w:eastAsia="Aptos" w:hAnsi="Aptos" w:cs="Aptos"/>
          <w:lang w:val="fr-FR"/>
        </w:rPr>
        <w:t xml:space="preserve">D’un budget européen clair, distinct et réservé à la politique de cohésion ;  </w:t>
      </w:r>
    </w:p>
    <w:p w14:paraId="15C80416" w14:textId="0233C640" w:rsidR="00553B31" w:rsidRPr="00553B31" w:rsidRDefault="00553B31" w:rsidP="00C63AF9">
      <w:pPr>
        <w:pStyle w:val="Paragraphedeliste"/>
        <w:numPr>
          <w:ilvl w:val="1"/>
          <w:numId w:val="2"/>
        </w:numPr>
        <w:spacing w:line="257" w:lineRule="auto"/>
        <w:ind w:left="709"/>
        <w:jc w:val="both"/>
        <w:rPr>
          <w:rFonts w:ascii="Aptos" w:eastAsia="Aptos" w:hAnsi="Aptos" w:cs="Aptos"/>
          <w:lang w:val="fr-FR"/>
        </w:rPr>
      </w:pPr>
      <w:r w:rsidRPr="00553B31">
        <w:rPr>
          <w:rFonts w:ascii="Aptos" w:eastAsia="Aptos" w:hAnsi="Aptos" w:cs="Aptos"/>
          <w:lang w:val="fr-FR"/>
        </w:rPr>
        <w:t xml:space="preserve">De la définition, au niveau </w:t>
      </w:r>
      <w:r>
        <w:rPr>
          <w:rFonts w:ascii="Aptos" w:eastAsia="Aptos" w:hAnsi="Aptos" w:cs="Aptos"/>
          <w:lang w:val="fr-FR"/>
        </w:rPr>
        <w:t>européen</w:t>
      </w:r>
      <w:r w:rsidRPr="00553B31">
        <w:rPr>
          <w:rFonts w:ascii="Aptos" w:eastAsia="Aptos" w:hAnsi="Aptos" w:cs="Aptos"/>
          <w:lang w:val="fr-FR"/>
        </w:rPr>
        <w:t>, d'allocations régionales indicatives sur la base de la méthodologie consolidée actuelle qui tient compte des indicateurs sociaux et économiques, ainsi que des spécificités territoriales</w:t>
      </w:r>
      <w:r w:rsidR="00C63AF9">
        <w:rPr>
          <w:rFonts w:ascii="Aptos" w:eastAsia="Aptos" w:hAnsi="Aptos" w:cs="Aptos"/>
          <w:lang w:val="fr-FR"/>
        </w:rPr>
        <w:t xml:space="preserve">, </w:t>
      </w:r>
      <w:r w:rsidR="00C63AF9" w:rsidRPr="00C63AF9">
        <w:rPr>
          <w:rFonts w:ascii="Aptos" w:eastAsia="Aptos" w:hAnsi="Aptos" w:cs="Aptos"/>
          <w:lang w:val="fr-FR"/>
        </w:rPr>
        <w:t>garantissant ainsi un budget dédié à chaque catégorie de régions</w:t>
      </w:r>
      <w:r w:rsidRPr="00553B31">
        <w:rPr>
          <w:rFonts w:ascii="Aptos" w:eastAsia="Aptos" w:hAnsi="Aptos" w:cs="Aptos"/>
          <w:lang w:val="fr-FR"/>
        </w:rPr>
        <w:t>. Un</w:t>
      </w:r>
      <w:r>
        <w:rPr>
          <w:rFonts w:ascii="Aptos" w:eastAsia="Aptos" w:hAnsi="Aptos" w:cs="Aptos"/>
          <w:lang w:val="fr-FR"/>
        </w:rPr>
        <w:t xml:space="preserve"> filet</w:t>
      </w:r>
      <w:r w:rsidRPr="00553B31">
        <w:rPr>
          <w:rFonts w:ascii="Aptos" w:eastAsia="Aptos" w:hAnsi="Aptos" w:cs="Aptos"/>
          <w:lang w:val="fr-FR"/>
        </w:rPr>
        <w:t xml:space="preserve"> de sécurité par rapport à la période 2021-2027 devrait être accordé ;</w:t>
      </w:r>
    </w:p>
    <w:p w14:paraId="355170EC" w14:textId="6027B012" w:rsidR="00553B31" w:rsidRPr="00553B31" w:rsidRDefault="00553B31" w:rsidP="00C63AF9">
      <w:pPr>
        <w:pStyle w:val="Paragraphedeliste"/>
        <w:numPr>
          <w:ilvl w:val="1"/>
          <w:numId w:val="2"/>
        </w:numPr>
        <w:spacing w:line="257" w:lineRule="auto"/>
        <w:ind w:left="709"/>
        <w:jc w:val="both"/>
        <w:rPr>
          <w:rFonts w:ascii="Aptos" w:eastAsia="Aptos" w:hAnsi="Aptos" w:cs="Aptos"/>
          <w:lang w:val="fr-FR"/>
        </w:rPr>
      </w:pPr>
      <w:r w:rsidRPr="00553B31">
        <w:rPr>
          <w:rFonts w:ascii="Aptos" w:eastAsia="Aptos" w:hAnsi="Aptos" w:cs="Aptos"/>
          <w:lang w:val="fr-FR"/>
        </w:rPr>
        <w:t>Un budget européen dédié au soutien du développement rural ;</w:t>
      </w:r>
    </w:p>
    <w:p w14:paraId="4BFC3304" w14:textId="34934EF4" w:rsidR="00553B31" w:rsidRDefault="00C63AF9" w:rsidP="00C63AF9">
      <w:pPr>
        <w:pStyle w:val="Paragraphedeliste"/>
        <w:numPr>
          <w:ilvl w:val="1"/>
          <w:numId w:val="2"/>
        </w:numPr>
        <w:spacing w:line="257" w:lineRule="auto"/>
        <w:ind w:left="709"/>
        <w:jc w:val="both"/>
        <w:rPr>
          <w:rFonts w:ascii="Aptos" w:eastAsia="Aptos" w:hAnsi="Aptos" w:cs="Aptos"/>
          <w:lang w:val="fr-FR"/>
        </w:rPr>
      </w:pPr>
      <w:r w:rsidRPr="00C63AF9">
        <w:rPr>
          <w:rFonts w:ascii="Aptos" w:eastAsia="Aptos" w:hAnsi="Aptos" w:cs="Aptos"/>
          <w:lang w:val="fr-FR"/>
        </w:rPr>
        <w:t>La reconnaissance de la dimension urbaine et du rôle particulier des zones urbaines</w:t>
      </w:r>
      <w:r w:rsidR="00553B31" w:rsidRPr="00553B31">
        <w:rPr>
          <w:rFonts w:ascii="Aptos" w:eastAsia="Aptos" w:hAnsi="Aptos" w:cs="Aptos"/>
          <w:lang w:val="fr-FR"/>
        </w:rPr>
        <w:t xml:space="preserve"> ;</w:t>
      </w:r>
    </w:p>
    <w:p w14:paraId="3F860712" w14:textId="7092D4D7" w:rsidR="00553B31" w:rsidRPr="00553B31" w:rsidRDefault="00553B31" w:rsidP="00C63AF9">
      <w:pPr>
        <w:pStyle w:val="Paragraphedeliste"/>
        <w:numPr>
          <w:ilvl w:val="1"/>
          <w:numId w:val="2"/>
        </w:numPr>
        <w:spacing w:line="257" w:lineRule="auto"/>
        <w:ind w:left="709"/>
        <w:jc w:val="both"/>
        <w:rPr>
          <w:rFonts w:ascii="Aptos" w:eastAsia="Aptos" w:hAnsi="Aptos" w:cs="Aptos"/>
          <w:lang w:val="fr-FR"/>
        </w:rPr>
      </w:pPr>
      <w:r w:rsidRPr="00553B31">
        <w:rPr>
          <w:rFonts w:ascii="Aptos" w:eastAsia="Aptos" w:hAnsi="Aptos" w:cs="Aptos"/>
          <w:lang w:val="fr-FR"/>
        </w:rPr>
        <w:t xml:space="preserve">Le plein respect des principes de partenariat et de subsidiarité en accordant aux régions d'Europe un rôle prépondérant dans le processus de programmation et de mise en œuvre, grâce à une gestion partagée, une gouvernance à plusieurs niveaux, garantissant une négociation </w:t>
      </w:r>
      <w:r w:rsidRPr="00553B31">
        <w:rPr>
          <w:rFonts w:ascii="Aptos" w:eastAsia="Aptos" w:hAnsi="Aptos" w:cs="Aptos"/>
          <w:lang w:val="fr-FR"/>
        </w:rPr>
        <w:lastRenderedPageBreak/>
        <w:t>directe entre les régions et la Commission européenne sans autorisation préalable de l'État membre.</w:t>
      </w:r>
    </w:p>
    <w:p w14:paraId="0E448B2F" w14:textId="77777777" w:rsidR="00BD2C68" w:rsidRPr="004F41DC" w:rsidRDefault="00BD2C68" w:rsidP="00D72E06">
      <w:pPr>
        <w:spacing w:after="0" w:line="257" w:lineRule="auto"/>
        <w:jc w:val="both"/>
        <w:rPr>
          <w:rFonts w:ascii="Aptos" w:eastAsia="Aptos" w:hAnsi="Aptos" w:cs="Aptos"/>
          <w:lang w:val="fr-FR"/>
        </w:rPr>
      </w:pPr>
    </w:p>
    <w:p w14:paraId="17D61F98" w14:textId="77777777" w:rsidR="00D72E06" w:rsidRPr="00D72E06" w:rsidRDefault="00D72E06" w:rsidP="00D72E06">
      <w:pPr>
        <w:spacing w:after="0" w:line="257" w:lineRule="auto"/>
        <w:jc w:val="both"/>
        <w:rPr>
          <w:rFonts w:ascii="Aptos" w:eastAsia="Aptos" w:hAnsi="Aptos" w:cs="Aptos"/>
          <w:b/>
          <w:bCs/>
          <w:lang w:val="fr-FR"/>
        </w:rPr>
      </w:pPr>
      <w:r w:rsidRPr="00D72E06">
        <w:rPr>
          <w:rFonts w:ascii="Aptos" w:eastAsia="Aptos" w:hAnsi="Aptos" w:cs="Aptos"/>
          <w:b/>
          <w:bCs/>
          <w:lang w:val="fr-FR"/>
        </w:rPr>
        <w:t>UNE PROPOSITION DE CFP À RÉVISER</w:t>
      </w:r>
    </w:p>
    <w:p w14:paraId="0C86CB8F" w14:textId="77777777" w:rsidR="00D72E06" w:rsidRPr="00D72E06" w:rsidRDefault="00D72E06" w:rsidP="00D72E06">
      <w:pPr>
        <w:spacing w:after="0" w:line="257" w:lineRule="auto"/>
        <w:jc w:val="both"/>
        <w:rPr>
          <w:rFonts w:ascii="Aptos" w:eastAsia="Aptos" w:hAnsi="Aptos" w:cs="Aptos"/>
          <w:lang w:val="fr-FR"/>
        </w:rPr>
      </w:pPr>
      <w:r w:rsidRPr="00D72E06">
        <w:rPr>
          <w:rFonts w:ascii="Aptos" w:eastAsia="Aptos" w:hAnsi="Aptos" w:cs="Aptos"/>
          <w:lang w:val="fr-FR"/>
        </w:rPr>
        <w:t xml:space="preserve"> </w:t>
      </w:r>
    </w:p>
    <w:p w14:paraId="2A3BEF6A" w14:textId="77777777" w:rsidR="00D72E06" w:rsidRPr="00D72E06" w:rsidRDefault="00D72E06" w:rsidP="00D72E06">
      <w:pPr>
        <w:spacing w:after="0" w:line="257" w:lineRule="auto"/>
        <w:jc w:val="both"/>
        <w:rPr>
          <w:rFonts w:ascii="Aptos" w:eastAsia="Aptos" w:hAnsi="Aptos" w:cs="Aptos"/>
          <w:b/>
          <w:bCs/>
          <w:lang w:val="fr-FR"/>
        </w:rPr>
      </w:pPr>
      <w:r w:rsidRPr="00D72E06">
        <w:rPr>
          <w:rFonts w:ascii="Aptos" w:eastAsia="Aptos" w:hAnsi="Aptos" w:cs="Aptos"/>
          <w:b/>
          <w:bCs/>
          <w:lang w:val="fr-FR"/>
        </w:rPr>
        <w:t>Gouvernance, partenariat et mise en œuvre des PNR</w:t>
      </w:r>
    </w:p>
    <w:p w14:paraId="0EDBA1C9" w14:textId="77777777" w:rsidR="00D72E06" w:rsidRDefault="00D72E06" w:rsidP="00D72E06">
      <w:pPr>
        <w:spacing w:after="0" w:line="257" w:lineRule="auto"/>
        <w:jc w:val="both"/>
        <w:rPr>
          <w:rFonts w:ascii="Aptos" w:eastAsia="Aptos" w:hAnsi="Aptos" w:cs="Aptos"/>
          <w:lang w:val="fr-FR"/>
        </w:rPr>
      </w:pPr>
    </w:p>
    <w:p w14:paraId="585C6D67" w14:textId="56CE3D9A" w:rsidR="00D72E06" w:rsidRDefault="00D72E06" w:rsidP="00D72E06">
      <w:pPr>
        <w:spacing w:after="0" w:line="257" w:lineRule="auto"/>
        <w:jc w:val="both"/>
        <w:rPr>
          <w:rFonts w:ascii="Aptos" w:eastAsia="Aptos" w:hAnsi="Aptos" w:cs="Aptos"/>
          <w:lang w:val="fr-FR"/>
        </w:rPr>
      </w:pPr>
      <w:r w:rsidRPr="00D72E06">
        <w:rPr>
          <w:rFonts w:ascii="Aptos" w:eastAsia="Aptos" w:hAnsi="Aptos" w:cs="Aptos"/>
          <w:lang w:val="fr-FR"/>
        </w:rPr>
        <w:t>Le nouveau modèle proposé pour la mise en œuvre de la politique de cohésion après 2027, qui prévoit une gestion centralisée des P</w:t>
      </w:r>
      <w:r>
        <w:rPr>
          <w:rFonts w:ascii="Aptos" w:eastAsia="Aptos" w:hAnsi="Aptos" w:cs="Aptos"/>
          <w:lang w:val="fr-FR"/>
        </w:rPr>
        <w:t>P</w:t>
      </w:r>
      <w:r w:rsidRPr="00D72E06">
        <w:rPr>
          <w:rFonts w:ascii="Aptos" w:eastAsia="Aptos" w:hAnsi="Aptos" w:cs="Aptos"/>
          <w:lang w:val="fr-FR"/>
        </w:rPr>
        <w:t xml:space="preserve">NR, représente un recul par rapport au système actuel fondé sur les principes de partenariat et de subsidiarité, et risque de ne pas tenir compte des compétences et de la vaste expérience des autorités régionales dans la mise en œuvre des programmes régionaux. L'absence d'une allocation budgétaire claire crée une incertitude en </w:t>
      </w:r>
      <w:r>
        <w:rPr>
          <w:rFonts w:ascii="Aptos" w:eastAsia="Aptos" w:hAnsi="Aptos" w:cs="Aptos"/>
          <w:lang w:val="fr-FR"/>
        </w:rPr>
        <w:t>termes</w:t>
      </w:r>
      <w:r w:rsidRPr="00D72E06">
        <w:rPr>
          <w:rFonts w:ascii="Aptos" w:eastAsia="Aptos" w:hAnsi="Aptos" w:cs="Aptos"/>
          <w:lang w:val="fr-FR"/>
        </w:rPr>
        <w:t xml:space="preserve"> de planification pour les autorités régionales et locales et entrave donc leur capacité à investir de manière stratégique et à long terme. Les régions doivent participer à la prise de décision dans le cadre d'une négociation directe avec la CE, ainsi qu'aux processus de mise en œuvre. Par conséquent, nous ne pouvons pas soutenir les propositions de la Commission relatives au premier pilier du </w:t>
      </w:r>
      <w:r>
        <w:rPr>
          <w:rFonts w:ascii="Aptos" w:eastAsia="Aptos" w:hAnsi="Aptos" w:cs="Aptos"/>
          <w:lang w:val="fr-FR"/>
        </w:rPr>
        <w:t>C</w:t>
      </w:r>
      <w:r w:rsidRPr="00D72E06">
        <w:rPr>
          <w:rFonts w:ascii="Aptos" w:eastAsia="Aptos" w:hAnsi="Aptos" w:cs="Aptos"/>
          <w:lang w:val="fr-FR"/>
        </w:rPr>
        <w:t xml:space="preserve">adre financier pluriannuel, les </w:t>
      </w:r>
      <w:r>
        <w:rPr>
          <w:rFonts w:ascii="Aptos" w:eastAsia="Aptos" w:hAnsi="Aptos" w:cs="Aptos"/>
          <w:lang w:val="fr-FR"/>
        </w:rPr>
        <w:t>P</w:t>
      </w:r>
      <w:r w:rsidRPr="00D72E06">
        <w:rPr>
          <w:rFonts w:ascii="Aptos" w:eastAsia="Aptos" w:hAnsi="Aptos" w:cs="Aptos"/>
          <w:lang w:val="fr-FR"/>
        </w:rPr>
        <w:t>lans de partenariat nationaux et régionaux, dans leur forme actuelle.</w:t>
      </w:r>
    </w:p>
    <w:p w14:paraId="4487688A" w14:textId="77777777" w:rsidR="00D72E06" w:rsidRPr="00D72E06" w:rsidRDefault="00D72E06" w:rsidP="00D72E06">
      <w:pPr>
        <w:spacing w:after="0" w:line="257" w:lineRule="auto"/>
        <w:jc w:val="both"/>
        <w:rPr>
          <w:rFonts w:ascii="Aptos" w:eastAsia="Aptos" w:hAnsi="Aptos" w:cs="Aptos"/>
          <w:lang w:val="fr-FR"/>
        </w:rPr>
      </w:pPr>
    </w:p>
    <w:p w14:paraId="6CDDF596" w14:textId="7BADD450" w:rsidR="00D72E06" w:rsidRPr="00D72E06" w:rsidRDefault="00D72E06" w:rsidP="00D72E06">
      <w:pPr>
        <w:spacing w:after="0" w:line="257" w:lineRule="auto"/>
        <w:jc w:val="both"/>
        <w:rPr>
          <w:rFonts w:ascii="Aptos" w:eastAsia="Aptos" w:hAnsi="Aptos" w:cs="Aptos"/>
          <w:lang w:val="fr-FR"/>
        </w:rPr>
      </w:pPr>
      <w:r w:rsidRPr="00D72E06">
        <w:rPr>
          <w:rFonts w:ascii="Aptos" w:eastAsia="Aptos" w:hAnsi="Aptos" w:cs="Aptos"/>
          <w:lang w:val="fr-FR"/>
        </w:rPr>
        <w:t xml:space="preserve">Afin de soutenir de manière significative les principes consacrés dans les traités, les </w:t>
      </w:r>
      <w:r>
        <w:rPr>
          <w:rFonts w:ascii="Aptos" w:eastAsia="Aptos" w:hAnsi="Aptos" w:cs="Aptos"/>
          <w:lang w:val="fr-FR"/>
        </w:rPr>
        <w:t>P</w:t>
      </w:r>
      <w:r w:rsidRPr="00D72E06">
        <w:rPr>
          <w:rFonts w:ascii="Aptos" w:eastAsia="Aptos" w:hAnsi="Aptos" w:cs="Aptos"/>
          <w:lang w:val="fr-FR"/>
        </w:rPr>
        <w:t>lans devraient inclure au minimum :</w:t>
      </w:r>
    </w:p>
    <w:p w14:paraId="1A236E49" w14:textId="0A63C0C0" w:rsidR="00D72E06" w:rsidRPr="00D72E06" w:rsidRDefault="00D72E06" w:rsidP="00C63AF9">
      <w:pPr>
        <w:pStyle w:val="Paragraphedeliste"/>
        <w:numPr>
          <w:ilvl w:val="0"/>
          <w:numId w:val="3"/>
        </w:numPr>
        <w:spacing w:after="0" w:line="257" w:lineRule="auto"/>
        <w:jc w:val="both"/>
        <w:rPr>
          <w:rFonts w:ascii="Aptos" w:eastAsia="Aptos" w:hAnsi="Aptos" w:cs="Aptos"/>
          <w:lang w:val="fr-FR"/>
        </w:rPr>
      </w:pPr>
      <w:r w:rsidRPr="00D72E06">
        <w:rPr>
          <w:rFonts w:ascii="Aptos" w:eastAsia="Aptos" w:hAnsi="Aptos" w:cs="Aptos"/>
          <w:lang w:val="fr-FR"/>
        </w:rPr>
        <w:t>Des chapitres régionaux ;</w:t>
      </w:r>
    </w:p>
    <w:p w14:paraId="0E6407D8" w14:textId="082ADB33" w:rsidR="00D72E06" w:rsidRPr="00D72E06" w:rsidRDefault="00D72E06" w:rsidP="00C63AF9">
      <w:pPr>
        <w:pStyle w:val="Paragraphedeliste"/>
        <w:numPr>
          <w:ilvl w:val="0"/>
          <w:numId w:val="3"/>
        </w:numPr>
        <w:spacing w:after="0" w:line="257" w:lineRule="auto"/>
        <w:jc w:val="both"/>
        <w:rPr>
          <w:rFonts w:ascii="Aptos" w:eastAsia="Aptos" w:hAnsi="Aptos" w:cs="Aptos"/>
          <w:lang w:val="fr-FR"/>
        </w:rPr>
      </w:pPr>
      <w:r w:rsidRPr="00D72E06">
        <w:rPr>
          <w:rFonts w:ascii="Aptos" w:eastAsia="Aptos" w:hAnsi="Aptos" w:cs="Aptos"/>
          <w:lang w:val="fr-FR"/>
        </w:rPr>
        <w:t xml:space="preserve">Un chapitre par région, les régions étant les autorités de gestion pleinement responsables de leur planification, de la définition des </w:t>
      </w:r>
      <w:r>
        <w:rPr>
          <w:rFonts w:ascii="Aptos" w:eastAsia="Aptos" w:hAnsi="Aptos" w:cs="Aptos"/>
          <w:lang w:val="fr-FR"/>
        </w:rPr>
        <w:t>jalons et des cibles</w:t>
      </w:r>
      <w:r w:rsidRPr="00D72E06">
        <w:rPr>
          <w:rFonts w:ascii="Aptos" w:eastAsia="Aptos" w:hAnsi="Aptos" w:cs="Aptos"/>
          <w:lang w:val="fr-FR"/>
        </w:rPr>
        <w:t xml:space="preserve"> au niveau régional et de leur mise en œuvre</w:t>
      </w:r>
      <w:r>
        <w:rPr>
          <w:rFonts w:ascii="Aptos" w:eastAsia="Aptos" w:hAnsi="Aptos" w:cs="Aptos"/>
          <w:lang w:val="fr-FR"/>
        </w:rPr>
        <w:t> ;</w:t>
      </w:r>
    </w:p>
    <w:p w14:paraId="2E8D9348" w14:textId="43A57E52" w:rsidR="00D72E06" w:rsidRPr="00D72E06" w:rsidRDefault="00D72E06" w:rsidP="00C63AF9">
      <w:pPr>
        <w:pStyle w:val="Paragraphedeliste"/>
        <w:numPr>
          <w:ilvl w:val="0"/>
          <w:numId w:val="3"/>
        </w:numPr>
        <w:spacing w:after="0" w:line="257" w:lineRule="auto"/>
        <w:jc w:val="both"/>
        <w:rPr>
          <w:rFonts w:ascii="Aptos" w:eastAsia="Aptos" w:hAnsi="Aptos" w:cs="Aptos"/>
          <w:lang w:val="fr-FR"/>
        </w:rPr>
      </w:pPr>
      <w:r>
        <w:rPr>
          <w:rFonts w:ascii="Aptos" w:eastAsia="Aptos" w:hAnsi="Aptos" w:cs="Aptos"/>
          <w:lang w:val="fr-FR"/>
        </w:rPr>
        <w:t>Une n</w:t>
      </w:r>
      <w:r w:rsidRPr="00D72E06">
        <w:rPr>
          <w:rFonts w:ascii="Aptos" w:eastAsia="Aptos" w:hAnsi="Aptos" w:cs="Aptos"/>
          <w:lang w:val="fr-FR"/>
        </w:rPr>
        <w:t xml:space="preserve">égociation directe entre l'autorité de gestion, responsable d'un ou plusieurs chapitres d'un </w:t>
      </w:r>
      <w:r>
        <w:rPr>
          <w:rFonts w:ascii="Aptos" w:eastAsia="Aptos" w:hAnsi="Aptos" w:cs="Aptos"/>
          <w:lang w:val="fr-FR"/>
        </w:rPr>
        <w:t>P</w:t>
      </w:r>
      <w:r w:rsidRPr="00D72E06">
        <w:rPr>
          <w:rFonts w:ascii="Aptos" w:eastAsia="Aptos" w:hAnsi="Aptos" w:cs="Aptos"/>
          <w:lang w:val="fr-FR"/>
        </w:rPr>
        <w:t>lan PNR, et la Commission européenne ;</w:t>
      </w:r>
    </w:p>
    <w:p w14:paraId="0857F246" w14:textId="7B908DA7" w:rsidR="00D72E06" w:rsidRPr="00D72E06" w:rsidRDefault="00D72E06" w:rsidP="00C63AF9">
      <w:pPr>
        <w:pStyle w:val="Paragraphedeliste"/>
        <w:numPr>
          <w:ilvl w:val="0"/>
          <w:numId w:val="3"/>
        </w:numPr>
        <w:spacing w:after="0" w:line="257" w:lineRule="auto"/>
        <w:jc w:val="both"/>
        <w:rPr>
          <w:rFonts w:ascii="Aptos" w:eastAsia="Aptos" w:hAnsi="Aptos" w:cs="Aptos"/>
          <w:lang w:val="fr-FR"/>
        </w:rPr>
      </w:pPr>
      <w:r w:rsidRPr="00D72E06">
        <w:rPr>
          <w:rFonts w:ascii="Aptos" w:eastAsia="Aptos" w:hAnsi="Aptos" w:cs="Aptos"/>
          <w:lang w:val="fr-FR"/>
        </w:rPr>
        <w:t>Les régions, lorsqu'elles sont autorités de gestion, devraient avoir la possibilité d'assumer leur propre responsabilité juridique et financière en matière de planification, de négociation et de mise en œuvre de leurs programmes ;</w:t>
      </w:r>
    </w:p>
    <w:p w14:paraId="7FEB374D" w14:textId="43907848" w:rsidR="00D72E06" w:rsidRPr="00D72E06" w:rsidRDefault="00D72E06" w:rsidP="00C63AF9">
      <w:pPr>
        <w:pStyle w:val="Paragraphedeliste"/>
        <w:numPr>
          <w:ilvl w:val="0"/>
          <w:numId w:val="3"/>
        </w:numPr>
        <w:spacing w:after="0" w:line="257" w:lineRule="auto"/>
        <w:jc w:val="both"/>
        <w:rPr>
          <w:rFonts w:ascii="Aptos" w:eastAsia="Aptos" w:hAnsi="Aptos" w:cs="Aptos"/>
          <w:lang w:val="fr-FR"/>
        </w:rPr>
      </w:pPr>
      <w:r>
        <w:rPr>
          <w:rFonts w:ascii="Aptos" w:eastAsia="Aptos" w:hAnsi="Aptos" w:cs="Aptos"/>
          <w:lang w:val="fr-FR"/>
        </w:rPr>
        <w:t>L</w:t>
      </w:r>
      <w:r w:rsidRPr="00D72E06">
        <w:rPr>
          <w:rFonts w:ascii="Aptos" w:eastAsia="Aptos" w:hAnsi="Aptos" w:cs="Aptos"/>
          <w:lang w:val="fr-FR"/>
        </w:rPr>
        <w:t xml:space="preserve">es </w:t>
      </w:r>
      <w:r>
        <w:rPr>
          <w:rFonts w:ascii="Aptos" w:eastAsia="Aptos" w:hAnsi="Aptos" w:cs="Aptos"/>
          <w:lang w:val="fr-FR"/>
        </w:rPr>
        <w:t>P</w:t>
      </w:r>
      <w:r w:rsidRPr="00D72E06">
        <w:rPr>
          <w:rFonts w:ascii="Aptos" w:eastAsia="Aptos" w:hAnsi="Aptos" w:cs="Aptos"/>
          <w:lang w:val="fr-FR"/>
        </w:rPr>
        <w:t>lans PNR ne devraient être adoptés que par la Commission européenne et non par le Conseil.</w:t>
      </w:r>
    </w:p>
    <w:p w14:paraId="25AA52E8" w14:textId="77777777" w:rsidR="00D72E06" w:rsidRPr="004F41DC" w:rsidRDefault="00D72E06" w:rsidP="25BCDB08">
      <w:pPr>
        <w:spacing w:after="0" w:line="257" w:lineRule="auto"/>
        <w:jc w:val="both"/>
        <w:rPr>
          <w:rFonts w:ascii="Aptos" w:eastAsia="Aptos" w:hAnsi="Aptos" w:cs="Aptos"/>
          <w:lang w:val="fr-FR"/>
        </w:rPr>
      </w:pPr>
    </w:p>
    <w:p w14:paraId="4C2DD8AB" w14:textId="2329CFE7" w:rsidR="00D72E06" w:rsidRPr="00D72E06" w:rsidRDefault="00D72E06" w:rsidP="00D72E06">
      <w:pPr>
        <w:spacing w:after="0" w:line="257" w:lineRule="auto"/>
        <w:jc w:val="both"/>
        <w:rPr>
          <w:rFonts w:ascii="Aptos" w:eastAsia="Aptos" w:hAnsi="Aptos" w:cs="Aptos"/>
          <w:b/>
          <w:bCs/>
          <w:lang w:val="fr-FR"/>
        </w:rPr>
      </w:pPr>
      <w:r w:rsidRPr="00D72E06">
        <w:rPr>
          <w:rFonts w:ascii="Aptos" w:eastAsia="Aptos" w:hAnsi="Aptos" w:cs="Aptos"/>
          <w:b/>
          <w:bCs/>
          <w:lang w:val="fr-FR"/>
        </w:rPr>
        <w:t>Soutien au</w:t>
      </w:r>
      <w:r w:rsidR="00C63AF9">
        <w:rPr>
          <w:rFonts w:ascii="Aptos" w:eastAsia="Aptos" w:hAnsi="Aptos" w:cs="Aptos"/>
          <w:b/>
          <w:bCs/>
          <w:lang w:val="fr-FR"/>
        </w:rPr>
        <w:t xml:space="preserve"> développement</w:t>
      </w:r>
      <w:r w:rsidRPr="00D72E06">
        <w:rPr>
          <w:rFonts w:ascii="Aptos" w:eastAsia="Aptos" w:hAnsi="Aptos" w:cs="Aptos"/>
          <w:b/>
          <w:bCs/>
          <w:lang w:val="fr-FR"/>
        </w:rPr>
        <w:t xml:space="preserve"> rural</w:t>
      </w:r>
    </w:p>
    <w:p w14:paraId="2AD4CA31" w14:textId="77777777" w:rsidR="00D72E06" w:rsidRDefault="00D72E06" w:rsidP="00D72E06">
      <w:pPr>
        <w:spacing w:after="0" w:line="257" w:lineRule="auto"/>
        <w:jc w:val="both"/>
        <w:rPr>
          <w:rFonts w:ascii="Aptos" w:eastAsia="Aptos" w:hAnsi="Aptos" w:cs="Aptos"/>
          <w:lang w:val="fr-FR"/>
        </w:rPr>
      </w:pPr>
    </w:p>
    <w:p w14:paraId="06A9DD67" w14:textId="5ADF19F1" w:rsidR="00D72E06" w:rsidRPr="00D72E06" w:rsidRDefault="00D72E06" w:rsidP="00D72E06">
      <w:pPr>
        <w:spacing w:after="0" w:line="257" w:lineRule="auto"/>
        <w:jc w:val="both"/>
        <w:rPr>
          <w:rFonts w:ascii="Aptos" w:eastAsia="Aptos" w:hAnsi="Aptos" w:cs="Aptos"/>
          <w:lang w:val="fr-FR"/>
        </w:rPr>
      </w:pPr>
      <w:r w:rsidRPr="00D72E06">
        <w:rPr>
          <w:rFonts w:ascii="Aptos" w:eastAsia="Aptos" w:hAnsi="Aptos" w:cs="Aptos"/>
          <w:lang w:val="fr-FR"/>
        </w:rPr>
        <w:t xml:space="preserve">L'intégration de la politique de cohésion et de la politique agricole commune dans un </w:t>
      </w:r>
      <w:r>
        <w:rPr>
          <w:rFonts w:ascii="Aptos" w:eastAsia="Aptos" w:hAnsi="Aptos" w:cs="Aptos"/>
          <w:lang w:val="fr-FR"/>
        </w:rPr>
        <w:t>instrument</w:t>
      </w:r>
      <w:r w:rsidRPr="00D72E06">
        <w:rPr>
          <w:rFonts w:ascii="Aptos" w:eastAsia="Aptos" w:hAnsi="Aptos" w:cs="Aptos"/>
          <w:lang w:val="fr-FR"/>
        </w:rPr>
        <w:t xml:space="preserve"> financier unique crée une concurrence entre les politiques. Il est nécessaire de garantir un soutien complet et complémentaire au développement rural</w:t>
      </w:r>
      <w:r>
        <w:rPr>
          <w:rFonts w:ascii="Aptos" w:eastAsia="Aptos" w:hAnsi="Aptos" w:cs="Aptos"/>
          <w:lang w:val="fr-FR"/>
        </w:rPr>
        <w:t>,</w:t>
      </w:r>
      <w:r w:rsidRPr="00D72E06">
        <w:rPr>
          <w:rFonts w:ascii="Aptos" w:eastAsia="Aptos" w:hAnsi="Aptos" w:cs="Aptos"/>
          <w:lang w:val="fr-FR"/>
        </w:rPr>
        <w:t xml:space="preserve"> sans compromettre la réalisation des objectifs de cohésion au niveau régional. Le modèle de mise en œuvre de la politique de cohésion après 2027 transfère la charge financière du développement rural à la politique de cohésion, au détriment d'autres priorités territoriales. Les régions demandent un budget européen dédié au soutien du développement rural.</w:t>
      </w:r>
    </w:p>
    <w:p w14:paraId="433F99DA" w14:textId="6C3C5E52" w:rsidR="00F85C88" w:rsidRDefault="7FCDD096" w:rsidP="25BCDB08">
      <w:pPr>
        <w:spacing w:after="0" w:line="257" w:lineRule="auto"/>
        <w:jc w:val="both"/>
      </w:pPr>
      <w:r w:rsidRPr="00D72E06">
        <w:rPr>
          <w:rFonts w:ascii="Aptos" w:eastAsia="Aptos" w:hAnsi="Aptos" w:cs="Aptos"/>
          <w:b/>
          <w:bCs/>
          <w:lang w:val="fr-FR"/>
        </w:rPr>
        <w:t xml:space="preserve"> </w:t>
      </w:r>
    </w:p>
    <w:p w14:paraId="633458AF" w14:textId="77777777" w:rsidR="00DE14DD" w:rsidRPr="00DE14DD" w:rsidRDefault="00DE14DD" w:rsidP="00DE14DD">
      <w:pPr>
        <w:spacing w:after="0" w:line="257" w:lineRule="auto"/>
        <w:jc w:val="both"/>
        <w:rPr>
          <w:rFonts w:ascii="Aptos" w:eastAsia="Aptos" w:hAnsi="Aptos" w:cs="Aptos"/>
          <w:b/>
          <w:bCs/>
          <w:lang w:val="fr-FR"/>
        </w:rPr>
      </w:pPr>
      <w:r w:rsidRPr="00DE14DD">
        <w:rPr>
          <w:rFonts w:ascii="Aptos" w:eastAsia="Aptos" w:hAnsi="Aptos" w:cs="Aptos"/>
          <w:b/>
          <w:bCs/>
          <w:lang w:val="fr-FR"/>
        </w:rPr>
        <w:t>Fonds social européen et objectifs sociaux</w:t>
      </w:r>
    </w:p>
    <w:p w14:paraId="48804F3E" w14:textId="77777777" w:rsidR="00DE14DD" w:rsidRDefault="00DE14DD" w:rsidP="00DE14DD">
      <w:pPr>
        <w:spacing w:after="0" w:line="257" w:lineRule="auto"/>
        <w:jc w:val="both"/>
        <w:rPr>
          <w:rFonts w:ascii="Aptos" w:eastAsia="Aptos" w:hAnsi="Aptos" w:cs="Aptos"/>
          <w:lang w:val="fr-FR"/>
        </w:rPr>
      </w:pPr>
    </w:p>
    <w:p w14:paraId="6A3B232A" w14:textId="41A3EB22" w:rsidR="00DE14DD" w:rsidRPr="00DE14DD" w:rsidRDefault="00DE14DD" w:rsidP="00DE14DD">
      <w:pPr>
        <w:spacing w:after="0" w:line="257" w:lineRule="auto"/>
        <w:jc w:val="both"/>
        <w:rPr>
          <w:rFonts w:ascii="Aptos" w:eastAsia="Aptos" w:hAnsi="Aptos" w:cs="Aptos"/>
          <w:lang w:val="fr-FR"/>
        </w:rPr>
      </w:pPr>
      <w:r w:rsidRPr="00DE14DD">
        <w:rPr>
          <w:rFonts w:ascii="Aptos" w:eastAsia="Aptos" w:hAnsi="Aptos" w:cs="Aptos"/>
          <w:lang w:val="fr-FR"/>
        </w:rPr>
        <w:t>Afin de renforcer davantage le modèle social européen et de mettre en œuvre le socle européen des droits sociaux, le FSE devrait continuer à être mis en œuvre au niveau régional et en fonction des défis et du contexte socio-économique. Les régions sont les mieux placées pour programmer des politiques qui intègrent des interventions et des mesures sociales en faveur de l'emploi.</w:t>
      </w:r>
    </w:p>
    <w:p w14:paraId="79C0EA2E" w14:textId="77777777" w:rsidR="00DE14DD" w:rsidRPr="00DE14DD" w:rsidRDefault="00DE14DD" w:rsidP="00DE14DD">
      <w:pPr>
        <w:spacing w:after="0" w:line="257" w:lineRule="auto"/>
        <w:jc w:val="both"/>
        <w:rPr>
          <w:rFonts w:ascii="Aptos" w:eastAsia="Aptos" w:hAnsi="Aptos" w:cs="Aptos"/>
          <w:lang w:val="fr-FR"/>
        </w:rPr>
      </w:pPr>
    </w:p>
    <w:p w14:paraId="78E4E470" w14:textId="77777777" w:rsidR="00DE14DD" w:rsidRPr="00DE14DD" w:rsidRDefault="00DE14DD" w:rsidP="00DE14DD">
      <w:pPr>
        <w:spacing w:after="0" w:line="257" w:lineRule="auto"/>
        <w:jc w:val="both"/>
        <w:rPr>
          <w:rFonts w:ascii="Aptos" w:eastAsia="Aptos" w:hAnsi="Aptos" w:cs="Aptos"/>
          <w:lang w:val="fr-FR"/>
        </w:rPr>
      </w:pPr>
      <w:r w:rsidRPr="00DE14DD">
        <w:rPr>
          <w:rFonts w:ascii="Aptos" w:eastAsia="Aptos" w:hAnsi="Aptos" w:cs="Aptos"/>
          <w:lang w:val="fr-FR"/>
        </w:rPr>
        <w:lastRenderedPageBreak/>
        <w:t xml:space="preserve">Les régions demandent donc : </w:t>
      </w:r>
    </w:p>
    <w:p w14:paraId="001C951A" w14:textId="1B083BAE" w:rsidR="00DE14DD" w:rsidRPr="00DE14DD" w:rsidRDefault="00DE14DD" w:rsidP="00C63AF9">
      <w:pPr>
        <w:pStyle w:val="Paragraphedeliste"/>
        <w:numPr>
          <w:ilvl w:val="0"/>
          <w:numId w:val="5"/>
        </w:numPr>
        <w:spacing w:after="0" w:line="257" w:lineRule="auto"/>
        <w:jc w:val="both"/>
        <w:rPr>
          <w:rFonts w:ascii="Aptos" w:eastAsia="Aptos" w:hAnsi="Aptos" w:cs="Aptos"/>
          <w:lang w:val="fr-FR"/>
        </w:rPr>
      </w:pPr>
      <w:r w:rsidRPr="00DE14DD">
        <w:rPr>
          <w:rFonts w:ascii="Aptos" w:eastAsia="Aptos" w:hAnsi="Aptos" w:cs="Aptos"/>
          <w:lang w:val="fr-FR"/>
        </w:rPr>
        <w:t xml:space="preserve">D’avoir la possibilité de décider de la part consacrée au FEDER et au FSE. </w:t>
      </w:r>
    </w:p>
    <w:p w14:paraId="3DC63926" w14:textId="599CDBBB" w:rsidR="00DE14DD" w:rsidRPr="00DE14DD" w:rsidRDefault="00DE14DD" w:rsidP="00C63AF9">
      <w:pPr>
        <w:pStyle w:val="Paragraphedeliste"/>
        <w:numPr>
          <w:ilvl w:val="0"/>
          <w:numId w:val="4"/>
        </w:numPr>
        <w:spacing w:after="0" w:line="257" w:lineRule="auto"/>
        <w:jc w:val="both"/>
        <w:rPr>
          <w:rFonts w:ascii="Aptos" w:eastAsia="Aptos" w:hAnsi="Aptos" w:cs="Aptos"/>
          <w:lang w:val="fr-FR"/>
        </w:rPr>
      </w:pPr>
      <w:r w:rsidRPr="00DE14DD">
        <w:rPr>
          <w:rFonts w:ascii="Aptos" w:eastAsia="Aptos" w:hAnsi="Aptos" w:cs="Aptos"/>
          <w:lang w:val="fr-FR"/>
        </w:rPr>
        <w:t>De renforcer la contribution du FSE pour aider à répondre aux nouveaux défis qui se posent (par exemple, des interventions de type STEP sur l'autonomie stratégique ou les urgences).</w:t>
      </w:r>
    </w:p>
    <w:p w14:paraId="5F28FBC3" w14:textId="77777777" w:rsidR="00DE14DD" w:rsidRDefault="00DE14DD" w:rsidP="00DE14DD">
      <w:pPr>
        <w:spacing w:after="0" w:line="257" w:lineRule="auto"/>
        <w:jc w:val="both"/>
        <w:rPr>
          <w:rFonts w:ascii="Aptos" w:eastAsia="Aptos" w:hAnsi="Aptos" w:cs="Aptos"/>
          <w:lang w:val="fr-FR"/>
        </w:rPr>
      </w:pPr>
    </w:p>
    <w:p w14:paraId="3EACE7A8" w14:textId="23C3A7FC" w:rsidR="00DE14DD" w:rsidRPr="00DE14DD" w:rsidRDefault="00DE14DD" w:rsidP="00DE14DD">
      <w:pPr>
        <w:spacing w:after="0" w:line="257" w:lineRule="auto"/>
        <w:jc w:val="both"/>
        <w:rPr>
          <w:rFonts w:ascii="Aptos" w:eastAsia="Aptos" w:hAnsi="Aptos" w:cs="Aptos"/>
          <w:b/>
          <w:bCs/>
          <w:lang w:val="fr-FR"/>
        </w:rPr>
      </w:pPr>
      <w:r w:rsidRPr="00DE14DD">
        <w:rPr>
          <w:rFonts w:ascii="Aptos" w:eastAsia="Aptos" w:hAnsi="Aptos" w:cs="Aptos"/>
          <w:b/>
          <w:bCs/>
          <w:lang w:val="fr-FR"/>
        </w:rPr>
        <w:t>Cohésion pour la croissance et la compétitivité de l</w:t>
      </w:r>
      <w:r>
        <w:rPr>
          <w:rFonts w:ascii="Aptos" w:eastAsia="Aptos" w:hAnsi="Aptos" w:cs="Aptos"/>
          <w:b/>
          <w:bCs/>
          <w:lang w:val="fr-FR"/>
        </w:rPr>
        <w:t>’</w:t>
      </w:r>
      <w:r w:rsidRPr="00DE14DD">
        <w:rPr>
          <w:rFonts w:ascii="Aptos" w:eastAsia="Aptos" w:hAnsi="Aptos" w:cs="Aptos"/>
          <w:b/>
          <w:bCs/>
          <w:lang w:val="fr-FR"/>
        </w:rPr>
        <w:t xml:space="preserve">UE </w:t>
      </w:r>
    </w:p>
    <w:p w14:paraId="787760C6" w14:textId="77777777" w:rsidR="00DE14DD" w:rsidRDefault="00DE14DD" w:rsidP="00DE14DD">
      <w:pPr>
        <w:spacing w:after="0" w:line="257" w:lineRule="auto"/>
        <w:jc w:val="both"/>
        <w:rPr>
          <w:rFonts w:ascii="Aptos" w:eastAsia="Aptos" w:hAnsi="Aptos" w:cs="Aptos"/>
          <w:lang w:val="fr-FR"/>
        </w:rPr>
      </w:pPr>
    </w:p>
    <w:p w14:paraId="0A3FF0D3" w14:textId="59BA344C" w:rsidR="00DE14DD" w:rsidRDefault="00DE14DD" w:rsidP="00DE14DD">
      <w:pPr>
        <w:spacing w:after="0" w:line="257" w:lineRule="auto"/>
        <w:jc w:val="both"/>
        <w:rPr>
          <w:rFonts w:ascii="Aptos" w:eastAsia="Aptos" w:hAnsi="Aptos" w:cs="Aptos"/>
          <w:lang w:val="fr-FR"/>
        </w:rPr>
      </w:pPr>
      <w:r w:rsidRPr="00DE14DD">
        <w:rPr>
          <w:rFonts w:ascii="Aptos" w:eastAsia="Aptos" w:hAnsi="Aptos" w:cs="Aptos"/>
          <w:lang w:val="fr-FR"/>
        </w:rPr>
        <w:t xml:space="preserve">Alors que les stratégies S3 ont favorisé la compétitivité grâce à une approche ascendante à long terme et </w:t>
      </w:r>
      <w:r>
        <w:rPr>
          <w:rFonts w:ascii="Aptos" w:eastAsia="Aptos" w:hAnsi="Aptos" w:cs="Aptos"/>
          <w:lang w:val="fr-FR"/>
        </w:rPr>
        <w:t xml:space="preserve">qu’elles </w:t>
      </w:r>
      <w:r w:rsidRPr="00DE14DD">
        <w:rPr>
          <w:rFonts w:ascii="Aptos" w:eastAsia="Aptos" w:hAnsi="Aptos" w:cs="Aptos"/>
          <w:lang w:val="fr-FR"/>
        </w:rPr>
        <w:t>ont renforcé les écosystèmes d'innovation régionaux</w:t>
      </w:r>
      <w:r>
        <w:rPr>
          <w:rFonts w:ascii="Aptos" w:eastAsia="Aptos" w:hAnsi="Aptos" w:cs="Aptos"/>
          <w:lang w:val="fr-FR"/>
        </w:rPr>
        <w:t>,</w:t>
      </w:r>
      <w:r w:rsidRPr="00DE14DD">
        <w:rPr>
          <w:rFonts w:ascii="Aptos" w:eastAsia="Aptos" w:hAnsi="Aptos" w:cs="Aptos"/>
          <w:lang w:val="fr-FR"/>
        </w:rPr>
        <w:t xml:space="preserve"> qui constituent l'épine dorsale des chaînes de valeur de l'UE, la proposition affaiblit le potentiel de la stratégie S3, qui a disparu en tant que stratégie clé pour soutenir la recherche et l'innovation.  </w:t>
      </w:r>
    </w:p>
    <w:p w14:paraId="45545625" w14:textId="77777777" w:rsidR="00DE14DD" w:rsidRDefault="00DE14DD" w:rsidP="00DE14DD">
      <w:pPr>
        <w:spacing w:after="0" w:line="257" w:lineRule="auto"/>
        <w:jc w:val="both"/>
        <w:rPr>
          <w:rFonts w:ascii="Aptos" w:eastAsia="Aptos" w:hAnsi="Aptos" w:cs="Aptos"/>
          <w:lang w:val="fr-FR"/>
        </w:rPr>
      </w:pPr>
    </w:p>
    <w:p w14:paraId="52068B7E" w14:textId="77777777" w:rsidR="00DE14DD" w:rsidRPr="00DE14DD" w:rsidRDefault="00DE14DD" w:rsidP="00DE14DD">
      <w:pPr>
        <w:spacing w:after="0" w:line="257" w:lineRule="auto"/>
        <w:jc w:val="both"/>
        <w:rPr>
          <w:rFonts w:ascii="Aptos" w:eastAsia="Aptos" w:hAnsi="Aptos" w:cs="Aptos"/>
          <w:lang w:val="fr-FR"/>
        </w:rPr>
      </w:pPr>
      <w:r w:rsidRPr="00DE14DD">
        <w:rPr>
          <w:rFonts w:ascii="Aptos" w:eastAsia="Aptos" w:hAnsi="Aptos" w:cs="Aptos"/>
          <w:lang w:val="fr-FR"/>
        </w:rPr>
        <w:t>Les régions demandent donc que :</w:t>
      </w:r>
    </w:p>
    <w:p w14:paraId="60224D7E" w14:textId="47DC7F4D" w:rsidR="00DE14DD" w:rsidRPr="00DE14DD" w:rsidRDefault="00DE14DD" w:rsidP="00C63AF9">
      <w:pPr>
        <w:pStyle w:val="Paragraphedeliste"/>
        <w:numPr>
          <w:ilvl w:val="0"/>
          <w:numId w:val="4"/>
        </w:numPr>
        <w:spacing w:after="0" w:line="257" w:lineRule="auto"/>
        <w:jc w:val="both"/>
        <w:rPr>
          <w:rFonts w:ascii="Aptos" w:eastAsia="Aptos" w:hAnsi="Aptos" w:cs="Aptos"/>
          <w:lang w:val="fr-FR"/>
        </w:rPr>
      </w:pPr>
      <w:r w:rsidRPr="00DE14DD">
        <w:rPr>
          <w:rFonts w:ascii="Aptos" w:eastAsia="Aptos" w:hAnsi="Aptos" w:cs="Aptos"/>
          <w:lang w:val="fr-FR"/>
        </w:rPr>
        <w:t>Les stratégies S3 continuent à jouer un rôle clé dans la promotion de la coordination des efforts industriels et d'innovation aux niveaux européen, national et régional, et dans l'équilibre entre les stratégies européennes descendantes et les opportunités ascendantes et locales.</w:t>
      </w:r>
    </w:p>
    <w:p w14:paraId="60694929" w14:textId="77777777" w:rsidR="00C63AF9" w:rsidRDefault="00DE14DD" w:rsidP="00C63AF9">
      <w:pPr>
        <w:pStyle w:val="Paragraphedeliste"/>
        <w:numPr>
          <w:ilvl w:val="0"/>
          <w:numId w:val="4"/>
        </w:numPr>
        <w:spacing w:after="0" w:line="257" w:lineRule="auto"/>
        <w:jc w:val="both"/>
        <w:rPr>
          <w:rFonts w:ascii="Aptos" w:eastAsia="Aptos" w:hAnsi="Aptos" w:cs="Aptos"/>
          <w:lang w:val="fr-FR"/>
        </w:rPr>
      </w:pPr>
      <w:r w:rsidRPr="00DE14DD">
        <w:rPr>
          <w:rFonts w:ascii="Aptos" w:eastAsia="Aptos" w:hAnsi="Aptos" w:cs="Aptos"/>
          <w:lang w:val="fr-FR"/>
        </w:rPr>
        <w:t>Les stratégies S3 soient valorisées en tant qu'outil puissant pour développer des synergies entre les piliers I et II, faciliter les co</w:t>
      </w:r>
      <w:r>
        <w:rPr>
          <w:rFonts w:ascii="Aptos" w:eastAsia="Aptos" w:hAnsi="Aptos" w:cs="Aptos"/>
          <w:lang w:val="fr-FR"/>
        </w:rPr>
        <w:t>-</w:t>
      </w:r>
      <w:r w:rsidRPr="00DE14DD">
        <w:rPr>
          <w:rFonts w:ascii="Aptos" w:eastAsia="Aptos" w:hAnsi="Aptos" w:cs="Aptos"/>
          <w:lang w:val="fr-FR"/>
        </w:rPr>
        <w:t>investissements et le déploiement de solutions innovantes et de chaînes de valeur dans toute l'UE.</w:t>
      </w:r>
    </w:p>
    <w:p w14:paraId="29509CA1" w14:textId="77777777" w:rsidR="00C63AF9" w:rsidRDefault="00C63AF9" w:rsidP="00C63AF9">
      <w:pPr>
        <w:spacing w:after="0" w:line="257" w:lineRule="auto"/>
        <w:jc w:val="both"/>
        <w:rPr>
          <w:rFonts w:ascii="Aptos" w:eastAsia="Aptos" w:hAnsi="Aptos" w:cs="Aptos"/>
          <w:lang w:val="fr-FR"/>
        </w:rPr>
      </w:pPr>
    </w:p>
    <w:p w14:paraId="1B7FC57A" w14:textId="0BE13A49" w:rsidR="00C63AF9" w:rsidRDefault="00C63AF9" w:rsidP="00C63AF9">
      <w:pPr>
        <w:spacing w:after="0" w:line="257" w:lineRule="auto"/>
        <w:jc w:val="both"/>
        <w:rPr>
          <w:rFonts w:ascii="Aptos" w:eastAsia="Aptos" w:hAnsi="Aptos" w:cs="Aptos"/>
          <w:lang w:val="fr-FR"/>
        </w:rPr>
      </w:pPr>
      <w:r>
        <w:rPr>
          <w:rFonts w:ascii="Aptos" w:eastAsia="Aptos" w:hAnsi="Aptos" w:cs="Aptos"/>
          <w:lang w:val="fr-FR"/>
        </w:rPr>
        <w:t>De plus, l</w:t>
      </w:r>
      <w:r w:rsidRPr="00C63AF9">
        <w:rPr>
          <w:rFonts w:ascii="Aptos" w:eastAsia="Aptos" w:hAnsi="Aptos" w:cs="Aptos"/>
          <w:lang w:val="fr-FR"/>
        </w:rPr>
        <w:t>es régions notent que le soutien aux différents types d'entreprises n'est pas clarifié dans la proposition législative de la Commission européenne. Les régions demandent que le soutien aux grandes entreprises et/ou aux (petites) entreprises de taille intermédiaire soit mentionné dans le règlement.</w:t>
      </w:r>
    </w:p>
    <w:p w14:paraId="585B9585" w14:textId="77777777" w:rsidR="00C63AF9" w:rsidRPr="004F41DC" w:rsidRDefault="00C63AF9" w:rsidP="00C63AF9">
      <w:pPr>
        <w:spacing w:after="0" w:line="257" w:lineRule="auto"/>
        <w:jc w:val="both"/>
        <w:rPr>
          <w:rFonts w:ascii="Aptos" w:eastAsia="Aptos" w:hAnsi="Aptos" w:cs="Aptos"/>
          <w:lang w:val="fr-FR"/>
        </w:rPr>
      </w:pPr>
    </w:p>
    <w:p w14:paraId="33251D8B" w14:textId="77777777" w:rsidR="00DE14DD" w:rsidRPr="00DE14DD" w:rsidRDefault="00DE14DD" w:rsidP="00DE14DD">
      <w:pPr>
        <w:spacing w:line="257" w:lineRule="auto"/>
        <w:jc w:val="both"/>
        <w:rPr>
          <w:rFonts w:ascii="Aptos" w:eastAsia="Aptos" w:hAnsi="Aptos" w:cs="Aptos"/>
          <w:b/>
          <w:bCs/>
          <w:lang w:val="fr-FR"/>
        </w:rPr>
      </w:pPr>
      <w:r w:rsidRPr="00DE14DD">
        <w:rPr>
          <w:rFonts w:ascii="Aptos" w:eastAsia="Aptos" w:hAnsi="Aptos" w:cs="Aptos"/>
          <w:b/>
          <w:bCs/>
          <w:lang w:val="fr-FR"/>
        </w:rPr>
        <w:t xml:space="preserve">Cadre de performance  </w:t>
      </w:r>
    </w:p>
    <w:p w14:paraId="31EB36A9" w14:textId="25B6240C" w:rsidR="00DE14DD" w:rsidRPr="00DE14DD" w:rsidRDefault="00DE14DD" w:rsidP="00DE14DD">
      <w:pPr>
        <w:spacing w:line="257" w:lineRule="auto"/>
        <w:jc w:val="both"/>
        <w:rPr>
          <w:rFonts w:ascii="Aptos" w:eastAsia="Aptos" w:hAnsi="Aptos" w:cs="Aptos"/>
          <w:lang w:val="fr-FR"/>
        </w:rPr>
      </w:pPr>
      <w:r w:rsidRPr="00DE14DD">
        <w:rPr>
          <w:rFonts w:ascii="Aptos" w:eastAsia="Aptos" w:hAnsi="Aptos" w:cs="Aptos"/>
          <w:lang w:val="fr-FR"/>
        </w:rPr>
        <w:t xml:space="preserve">Le cadre de performance proposé et les indicateurs associés sont </w:t>
      </w:r>
      <w:r>
        <w:rPr>
          <w:rFonts w:ascii="Aptos" w:eastAsia="Aptos" w:hAnsi="Aptos" w:cs="Aptos"/>
          <w:lang w:val="fr-FR"/>
        </w:rPr>
        <w:t>prescriptifs</w:t>
      </w:r>
      <w:r w:rsidRPr="00DE14DD">
        <w:rPr>
          <w:rFonts w:ascii="Aptos" w:eastAsia="Aptos" w:hAnsi="Aptos" w:cs="Aptos"/>
          <w:lang w:val="fr-FR"/>
        </w:rPr>
        <w:t xml:space="preserve"> et descendants</w:t>
      </w:r>
      <w:r>
        <w:rPr>
          <w:rFonts w:ascii="Aptos" w:eastAsia="Aptos" w:hAnsi="Aptos" w:cs="Aptos"/>
          <w:lang w:val="fr-FR"/>
        </w:rPr>
        <w:t>,</w:t>
      </w:r>
      <w:r w:rsidRPr="00DE14DD">
        <w:rPr>
          <w:rFonts w:ascii="Aptos" w:eastAsia="Aptos" w:hAnsi="Aptos" w:cs="Aptos"/>
          <w:lang w:val="fr-FR"/>
        </w:rPr>
        <w:t xml:space="preserve"> s'ils ne sont pas adaptés aux spécificités régionales. Avec le nouveau système de performance proposé, les régions craignent un double contrôle des </w:t>
      </w:r>
      <w:r>
        <w:rPr>
          <w:rFonts w:ascii="Aptos" w:eastAsia="Aptos" w:hAnsi="Aptos" w:cs="Aptos"/>
          <w:lang w:val="fr-FR"/>
        </w:rPr>
        <w:t>jalons</w:t>
      </w:r>
      <w:r w:rsidRPr="00DE14DD">
        <w:rPr>
          <w:rFonts w:ascii="Aptos" w:eastAsia="Aptos" w:hAnsi="Aptos" w:cs="Aptos"/>
          <w:lang w:val="fr-FR"/>
        </w:rPr>
        <w:t xml:space="preserve"> et des </w:t>
      </w:r>
      <w:r>
        <w:rPr>
          <w:rFonts w:ascii="Aptos" w:eastAsia="Aptos" w:hAnsi="Aptos" w:cs="Aptos"/>
          <w:lang w:val="fr-FR"/>
        </w:rPr>
        <w:t>cibles</w:t>
      </w:r>
      <w:r w:rsidRPr="00DE14DD">
        <w:rPr>
          <w:rFonts w:ascii="Aptos" w:eastAsia="Aptos" w:hAnsi="Aptos" w:cs="Aptos"/>
          <w:lang w:val="fr-FR"/>
        </w:rPr>
        <w:t>, d'une part, et des dépenses et des coûts, d'autre part.</w:t>
      </w:r>
    </w:p>
    <w:p w14:paraId="4732DEA9" w14:textId="0594D7E2" w:rsidR="00563FCD" w:rsidRPr="00DE14DD" w:rsidRDefault="00DE14DD" w:rsidP="00DE14DD">
      <w:pPr>
        <w:spacing w:line="257" w:lineRule="auto"/>
        <w:jc w:val="both"/>
        <w:rPr>
          <w:rFonts w:ascii="Aptos" w:eastAsia="Aptos" w:hAnsi="Aptos" w:cs="Aptos"/>
          <w:lang w:val="fr-FR"/>
        </w:rPr>
      </w:pPr>
      <w:r w:rsidRPr="00DE14DD">
        <w:rPr>
          <w:rFonts w:ascii="Aptos" w:eastAsia="Aptos" w:hAnsi="Aptos" w:cs="Aptos"/>
          <w:lang w:val="fr-FR"/>
        </w:rPr>
        <w:t xml:space="preserve">Les régions demandent donc que les </w:t>
      </w:r>
      <w:r w:rsidR="00563FCD">
        <w:rPr>
          <w:rFonts w:ascii="Aptos" w:eastAsia="Aptos" w:hAnsi="Aptos" w:cs="Aptos"/>
          <w:lang w:val="fr-FR"/>
        </w:rPr>
        <w:t>jalons</w:t>
      </w:r>
      <w:r w:rsidRPr="00DE14DD">
        <w:rPr>
          <w:rFonts w:ascii="Aptos" w:eastAsia="Aptos" w:hAnsi="Aptos" w:cs="Aptos"/>
          <w:lang w:val="fr-FR"/>
        </w:rPr>
        <w:t xml:space="preserve"> qualitati</w:t>
      </w:r>
      <w:r w:rsidR="00563FCD">
        <w:rPr>
          <w:rFonts w:ascii="Aptos" w:eastAsia="Aptos" w:hAnsi="Aptos" w:cs="Aptos"/>
          <w:lang w:val="fr-FR"/>
        </w:rPr>
        <w:t>f</w:t>
      </w:r>
      <w:r w:rsidRPr="00DE14DD">
        <w:rPr>
          <w:rFonts w:ascii="Aptos" w:eastAsia="Aptos" w:hAnsi="Aptos" w:cs="Aptos"/>
          <w:lang w:val="fr-FR"/>
        </w:rPr>
        <w:t xml:space="preserve">s et les </w:t>
      </w:r>
      <w:r w:rsidR="00563FCD">
        <w:rPr>
          <w:rFonts w:ascii="Aptos" w:eastAsia="Aptos" w:hAnsi="Aptos" w:cs="Aptos"/>
          <w:lang w:val="fr-FR"/>
        </w:rPr>
        <w:t>cibles</w:t>
      </w:r>
      <w:r w:rsidRPr="00DE14DD">
        <w:rPr>
          <w:rFonts w:ascii="Aptos" w:eastAsia="Aptos" w:hAnsi="Aptos" w:cs="Aptos"/>
          <w:lang w:val="fr-FR"/>
        </w:rPr>
        <w:t xml:space="preserve"> </w:t>
      </w:r>
      <w:r w:rsidR="00563FCD" w:rsidRPr="00DE14DD">
        <w:rPr>
          <w:rFonts w:ascii="Aptos" w:eastAsia="Aptos" w:hAnsi="Aptos" w:cs="Aptos"/>
          <w:lang w:val="fr-FR"/>
        </w:rPr>
        <w:t>quantitati</w:t>
      </w:r>
      <w:r w:rsidR="00563FCD">
        <w:rPr>
          <w:rFonts w:ascii="Aptos" w:eastAsia="Aptos" w:hAnsi="Aptos" w:cs="Aptos"/>
          <w:lang w:val="fr-FR"/>
        </w:rPr>
        <w:t>ves</w:t>
      </w:r>
      <w:r w:rsidRPr="00DE14DD">
        <w:rPr>
          <w:rFonts w:ascii="Aptos" w:eastAsia="Aptos" w:hAnsi="Aptos" w:cs="Aptos"/>
          <w:lang w:val="fr-FR"/>
        </w:rPr>
        <w:t xml:space="preserve">, leurs dates </w:t>
      </w:r>
      <w:r w:rsidR="00563FCD">
        <w:rPr>
          <w:rFonts w:ascii="Aptos" w:eastAsia="Aptos" w:hAnsi="Aptos" w:cs="Aptos"/>
          <w:lang w:val="fr-FR"/>
        </w:rPr>
        <w:t>de réalisation</w:t>
      </w:r>
      <w:r w:rsidRPr="00DE14DD">
        <w:rPr>
          <w:rFonts w:ascii="Aptos" w:eastAsia="Aptos" w:hAnsi="Aptos" w:cs="Aptos"/>
          <w:lang w:val="fr-FR"/>
        </w:rPr>
        <w:t xml:space="preserve"> indicatives correspondantes</w:t>
      </w:r>
      <w:r w:rsidR="00563FCD">
        <w:rPr>
          <w:rFonts w:ascii="Aptos" w:eastAsia="Aptos" w:hAnsi="Aptos" w:cs="Aptos"/>
          <w:lang w:val="fr-FR"/>
        </w:rPr>
        <w:t xml:space="preserve">, ainsi que </w:t>
      </w:r>
      <w:r w:rsidRPr="00DE14DD">
        <w:rPr>
          <w:rFonts w:ascii="Aptos" w:eastAsia="Aptos" w:hAnsi="Aptos" w:cs="Aptos"/>
          <w:lang w:val="fr-FR"/>
        </w:rPr>
        <w:t xml:space="preserve">les indicateurs de résultats, soient choisis et fixés par l'autorité de gestion au niveau régional.  </w:t>
      </w:r>
    </w:p>
    <w:p w14:paraId="12735835" w14:textId="77777777" w:rsidR="00563FCD" w:rsidRPr="004F41DC" w:rsidRDefault="00563FCD" w:rsidP="00563FCD">
      <w:pPr>
        <w:spacing w:after="0" w:line="257" w:lineRule="auto"/>
        <w:jc w:val="both"/>
        <w:rPr>
          <w:rFonts w:ascii="Aptos" w:eastAsia="Aptos" w:hAnsi="Aptos" w:cs="Aptos"/>
          <w:lang w:val="fr-FR"/>
        </w:rPr>
      </w:pPr>
    </w:p>
    <w:p w14:paraId="2C2B38B4" w14:textId="77777777" w:rsidR="00563FCD" w:rsidRPr="00563FCD" w:rsidRDefault="00563FCD" w:rsidP="00563FCD">
      <w:pPr>
        <w:spacing w:after="0" w:line="257" w:lineRule="auto"/>
        <w:jc w:val="both"/>
        <w:rPr>
          <w:rFonts w:ascii="Aptos" w:eastAsia="Aptos" w:hAnsi="Aptos" w:cs="Aptos"/>
          <w:b/>
          <w:bCs/>
          <w:lang w:val="fr-FR"/>
        </w:rPr>
      </w:pPr>
      <w:r w:rsidRPr="00563FCD">
        <w:rPr>
          <w:rFonts w:ascii="Aptos" w:eastAsia="Aptos" w:hAnsi="Aptos" w:cs="Aptos"/>
          <w:b/>
          <w:bCs/>
          <w:lang w:val="fr-FR"/>
        </w:rPr>
        <w:t>Lien avec les réformes</w:t>
      </w:r>
    </w:p>
    <w:p w14:paraId="0762611E" w14:textId="77777777" w:rsidR="00563FCD" w:rsidRDefault="00563FCD" w:rsidP="00563FCD">
      <w:pPr>
        <w:spacing w:after="0" w:line="257" w:lineRule="auto"/>
        <w:jc w:val="both"/>
        <w:rPr>
          <w:rFonts w:ascii="Aptos" w:eastAsia="Aptos" w:hAnsi="Aptos" w:cs="Aptos"/>
          <w:lang w:val="fr-FR"/>
        </w:rPr>
      </w:pPr>
    </w:p>
    <w:p w14:paraId="112B0E03" w14:textId="42D3DA12" w:rsidR="00563FCD" w:rsidRPr="00563FCD" w:rsidRDefault="00563FCD" w:rsidP="00563FCD">
      <w:pPr>
        <w:spacing w:after="0" w:line="257" w:lineRule="auto"/>
        <w:jc w:val="both"/>
        <w:rPr>
          <w:rFonts w:ascii="Aptos" w:eastAsia="Aptos" w:hAnsi="Aptos" w:cs="Aptos"/>
          <w:lang w:val="fr-FR"/>
        </w:rPr>
      </w:pPr>
      <w:r w:rsidRPr="00563FCD">
        <w:rPr>
          <w:rFonts w:ascii="Aptos" w:eastAsia="Aptos" w:hAnsi="Aptos" w:cs="Aptos"/>
          <w:lang w:val="fr-FR"/>
        </w:rPr>
        <w:t xml:space="preserve">Le </w:t>
      </w:r>
      <w:r>
        <w:rPr>
          <w:rFonts w:ascii="Aptos" w:eastAsia="Aptos" w:hAnsi="Aptos" w:cs="Aptos"/>
          <w:lang w:val="fr-FR"/>
        </w:rPr>
        <w:t>S</w:t>
      </w:r>
      <w:r w:rsidRPr="00563FCD">
        <w:rPr>
          <w:rFonts w:ascii="Aptos" w:eastAsia="Aptos" w:hAnsi="Aptos" w:cs="Aptos"/>
          <w:lang w:val="fr-FR"/>
        </w:rPr>
        <w:t>emestre européen devrait avoir une dimension territoriale : les régions rejettent l'idée que le non-respect des objectifs de réforme définis au niveau central puisse bloquer les demandes de paiement si les réformes ne relèvent pas de la responsabilité des régions. En outre, il est important de rappeler que les régions sont responsables de la mise en œuvre des recommandations spécifiques par pays dans les États membres lorsqu'elles relèvent de leur compétence.</w:t>
      </w:r>
    </w:p>
    <w:p w14:paraId="644D1468" w14:textId="77777777" w:rsidR="00563FCD" w:rsidRDefault="00563FCD" w:rsidP="00563FCD">
      <w:pPr>
        <w:spacing w:after="0" w:line="257" w:lineRule="auto"/>
        <w:jc w:val="both"/>
        <w:rPr>
          <w:rFonts w:ascii="Aptos" w:eastAsia="Aptos" w:hAnsi="Aptos" w:cs="Aptos"/>
          <w:lang w:val="fr-FR"/>
        </w:rPr>
      </w:pPr>
    </w:p>
    <w:p w14:paraId="3BC53A8B" w14:textId="03977416" w:rsidR="00563FCD" w:rsidRPr="00563FCD" w:rsidRDefault="00563FCD" w:rsidP="00563FCD">
      <w:pPr>
        <w:spacing w:after="0" w:line="257" w:lineRule="auto"/>
        <w:jc w:val="both"/>
        <w:rPr>
          <w:rFonts w:ascii="Aptos" w:eastAsia="Aptos" w:hAnsi="Aptos" w:cs="Aptos"/>
          <w:lang w:val="fr-FR"/>
        </w:rPr>
      </w:pPr>
      <w:r w:rsidRPr="00563FCD">
        <w:rPr>
          <w:rFonts w:ascii="Aptos" w:eastAsia="Aptos" w:hAnsi="Aptos" w:cs="Aptos"/>
          <w:lang w:val="fr-FR"/>
        </w:rPr>
        <w:t xml:space="preserve">Les régions demandent donc : </w:t>
      </w:r>
    </w:p>
    <w:p w14:paraId="1863BBD8" w14:textId="398BDAFD" w:rsidR="00563FCD" w:rsidRPr="00563FCD" w:rsidRDefault="00563FCD" w:rsidP="00C63AF9">
      <w:pPr>
        <w:pStyle w:val="Paragraphedeliste"/>
        <w:numPr>
          <w:ilvl w:val="0"/>
          <w:numId w:val="6"/>
        </w:numPr>
        <w:spacing w:after="0" w:line="257" w:lineRule="auto"/>
        <w:jc w:val="both"/>
        <w:rPr>
          <w:rFonts w:ascii="Aptos" w:eastAsia="Aptos" w:hAnsi="Aptos" w:cs="Aptos"/>
          <w:lang w:val="fr-FR"/>
        </w:rPr>
      </w:pPr>
      <w:r w:rsidRPr="00563FCD">
        <w:rPr>
          <w:rFonts w:ascii="Aptos" w:eastAsia="Aptos" w:hAnsi="Aptos" w:cs="Aptos"/>
          <w:lang w:val="fr-FR"/>
        </w:rPr>
        <w:t xml:space="preserve">Une modernisation du </w:t>
      </w:r>
      <w:r>
        <w:rPr>
          <w:rFonts w:ascii="Aptos" w:eastAsia="Aptos" w:hAnsi="Aptos" w:cs="Aptos"/>
          <w:lang w:val="fr-FR"/>
        </w:rPr>
        <w:t>S</w:t>
      </w:r>
      <w:r w:rsidRPr="00563FCD">
        <w:rPr>
          <w:rFonts w:ascii="Aptos" w:eastAsia="Aptos" w:hAnsi="Aptos" w:cs="Aptos"/>
          <w:lang w:val="fr-FR"/>
        </w:rPr>
        <w:t>emestre européen par le renforcement de la dimension infranationale des rapports</w:t>
      </w:r>
      <w:r>
        <w:rPr>
          <w:rFonts w:ascii="Aptos" w:eastAsia="Aptos" w:hAnsi="Aptos" w:cs="Aptos"/>
          <w:lang w:val="fr-FR"/>
        </w:rPr>
        <w:t xml:space="preserve"> par pays</w:t>
      </w:r>
      <w:r w:rsidRPr="00563FCD">
        <w:rPr>
          <w:rFonts w:ascii="Aptos" w:eastAsia="Aptos" w:hAnsi="Aptos" w:cs="Aptos"/>
          <w:lang w:val="fr-FR"/>
        </w:rPr>
        <w:t xml:space="preserve">. Les régions devraient être associées à la rédaction </w:t>
      </w:r>
      <w:r>
        <w:rPr>
          <w:rFonts w:ascii="Aptos" w:eastAsia="Aptos" w:hAnsi="Aptos" w:cs="Aptos"/>
          <w:lang w:val="fr-FR"/>
        </w:rPr>
        <w:t xml:space="preserve">de ces derniers </w:t>
      </w:r>
      <w:r w:rsidRPr="00563FCD">
        <w:rPr>
          <w:rFonts w:ascii="Aptos" w:eastAsia="Aptos" w:hAnsi="Aptos" w:cs="Aptos"/>
          <w:lang w:val="fr-FR"/>
        </w:rPr>
        <w:t>et des recommandations spécifiques par pays</w:t>
      </w:r>
      <w:r>
        <w:rPr>
          <w:rFonts w:ascii="Aptos" w:eastAsia="Aptos" w:hAnsi="Aptos" w:cs="Aptos"/>
          <w:lang w:val="fr-FR"/>
        </w:rPr>
        <w:t>,</w:t>
      </w:r>
      <w:r w:rsidRPr="00563FCD">
        <w:rPr>
          <w:rFonts w:ascii="Aptos" w:eastAsia="Aptos" w:hAnsi="Aptos" w:cs="Aptos"/>
          <w:lang w:val="fr-FR"/>
        </w:rPr>
        <w:t xml:space="preserve"> afin de consolider l'appropriation du processus à tous les niveaux.</w:t>
      </w:r>
    </w:p>
    <w:p w14:paraId="03CCE2F5" w14:textId="18279120" w:rsidR="00563FCD" w:rsidRPr="00563FCD" w:rsidRDefault="00563FCD" w:rsidP="00C63AF9">
      <w:pPr>
        <w:pStyle w:val="Paragraphedeliste"/>
        <w:numPr>
          <w:ilvl w:val="0"/>
          <w:numId w:val="6"/>
        </w:numPr>
        <w:spacing w:after="0" w:line="257" w:lineRule="auto"/>
        <w:jc w:val="both"/>
        <w:rPr>
          <w:rFonts w:ascii="Aptos" w:eastAsia="Aptos" w:hAnsi="Aptos" w:cs="Aptos"/>
          <w:lang w:val="fr-FR"/>
        </w:rPr>
      </w:pPr>
      <w:r w:rsidRPr="00563FCD">
        <w:rPr>
          <w:rFonts w:ascii="Aptos" w:eastAsia="Aptos" w:hAnsi="Aptos" w:cs="Aptos"/>
          <w:lang w:val="fr-FR"/>
        </w:rPr>
        <w:t xml:space="preserve">Que le </w:t>
      </w:r>
      <w:r>
        <w:rPr>
          <w:rFonts w:ascii="Aptos" w:eastAsia="Aptos" w:hAnsi="Aptos" w:cs="Aptos"/>
          <w:lang w:val="fr-FR"/>
        </w:rPr>
        <w:t>S</w:t>
      </w:r>
      <w:r w:rsidRPr="00563FCD">
        <w:rPr>
          <w:rFonts w:ascii="Aptos" w:eastAsia="Aptos" w:hAnsi="Aptos" w:cs="Aptos"/>
          <w:lang w:val="fr-FR"/>
        </w:rPr>
        <w:t>emestre européen inclue une approche stratégique pluriannuelle.</w:t>
      </w:r>
    </w:p>
    <w:p w14:paraId="3FD8BD85" w14:textId="2F68300B" w:rsidR="00F85C88" w:rsidRPr="00563FCD" w:rsidRDefault="00F85C88" w:rsidP="25BCDB08">
      <w:pPr>
        <w:pStyle w:val="Paragraphedeliste"/>
        <w:spacing w:after="0" w:line="257" w:lineRule="auto"/>
        <w:ind w:hanging="360"/>
        <w:jc w:val="both"/>
        <w:rPr>
          <w:rFonts w:ascii="Aptos" w:eastAsia="Aptos" w:hAnsi="Aptos" w:cs="Aptos"/>
          <w:lang w:val="fr-FR"/>
        </w:rPr>
      </w:pPr>
    </w:p>
    <w:p w14:paraId="2C7D6433" w14:textId="564E855D" w:rsidR="00563FCD" w:rsidRPr="00563FCD" w:rsidRDefault="00563FCD" w:rsidP="00563FCD">
      <w:pPr>
        <w:spacing w:after="0" w:line="257" w:lineRule="auto"/>
        <w:jc w:val="both"/>
        <w:rPr>
          <w:rFonts w:ascii="Aptos" w:eastAsia="Aptos" w:hAnsi="Aptos" w:cs="Aptos"/>
          <w:b/>
          <w:bCs/>
          <w:lang w:val="fr-FR"/>
        </w:rPr>
      </w:pPr>
      <w:r w:rsidRPr="00563FCD">
        <w:rPr>
          <w:rFonts w:ascii="Aptos" w:eastAsia="Aptos" w:hAnsi="Aptos" w:cs="Aptos"/>
          <w:b/>
          <w:bCs/>
          <w:lang w:val="fr-FR"/>
        </w:rPr>
        <w:t xml:space="preserve">Mise en œuvre et dégagement d’office </w:t>
      </w:r>
    </w:p>
    <w:p w14:paraId="6886D003" w14:textId="77777777" w:rsidR="00563FCD" w:rsidRPr="00563FCD" w:rsidRDefault="00563FCD" w:rsidP="00563FCD">
      <w:pPr>
        <w:spacing w:after="0" w:line="257" w:lineRule="auto"/>
        <w:jc w:val="both"/>
        <w:rPr>
          <w:rFonts w:ascii="Aptos" w:eastAsia="Aptos" w:hAnsi="Aptos" w:cs="Aptos"/>
          <w:lang w:val="fr-FR"/>
        </w:rPr>
      </w:pPr>
    </w:p>
    <w:p w14:paraId="6179B225" w14:textId="68883D8B" w:rsidR="00563FCD" w:rsidRPr="00563FCD" w:rsidRDefault="00563FCD" w:rsidP="00563FCD">
      <w:pPr>
        <w:spacing w:after="0" w:line="257" w:lineRule="auto"/>
        <w:jc w:val="both"/>
        <w:rPr>
          <w:rFonts w:ascii="Aptos" w:eastAsia="Aptos" w:hAnsi="Aptos" w:cs="Aptos"/>
          <w:lang w:val="fr-FR"/>
        </w:rPr>
      </w:pPr>
      <w:r w:rsidRPr="00563FCD">
        <w:rPr>
          <w:rFonts w:ascii="Aptos" w:eastAsia="Aptos" w:hAnsi="Aptos" w:cs="Aptos"/>
          <w:lang w:val="fr-FR"/>
        </w:rPr>
        <w:t xml:space="preserve">La règle </w:t>
      </w:r>
      <w:r>
        <w:rPr>
          <w:rFonts w:ascii="Aptos" w:eastAsia="Aptos" w:hAnsi="Aptos" w:cs="Aptos"/>
          <w:lang w:val="fr-FR"/>
        </w:rPr>
        <w:t xml:space="preserve">de dégagement </w:t>
      </w:r>
      <w:r w:rsidRPr="00563FCD">
        <w:rPr>
          <w:rFonts w:ascii="Aptos" w:eastAsia="Aptos" w:hAnsi="Aptos" w:cs="Aptos"/>
          <w:lang w:val="fr-FR"/>
        </w:rPr>
        <w:t>proposée par la Commission à N+10 mois (article 15) est trop ambitieuse</w:t>
      </w:r>
      <w:r>
        <w:rPr>
          <w:rFonts w:ascii="Aptos" w:eastAsia="Aptos" w:hAnsi="Aptos" w:cs="Aptos"/>
          <w:lang w:val="fr-FR"/>
        </w:rPr>
        <w:t>,</w:t>
      </w:r>
      <w:r w:rsidRPr="00563FCD">
        <w:rPr>
          <w:rFonts w:ascii="Aptos" w:eastAsia="Aptos" w:hAnsi="Aptos" w:cs="Aptos"/>
          <w:lang w:val="fr-FR"/>
        </w:rPr>
        <w:t xml:space="preserve"> compte tenu du temps nécessaire à la mise en œuvre des programmes. Une telle obligation exclut la possibilité de réaliser des investissements à long terme et de planifier des projets de qualité. La proposition de N+ 10 mois risque d'entraîner des dégagements et des pertes de fonds, en particulier pendant les années de transition entre le CFP actuel et le prochain. </w:t>
      </w:r>
    </w:p>
    <w:p w14:paraId="14B4296F" w14:textId="77777777" w:rsidR="00563FCD" w:rsidRPr="00563FCD" w:rsidRDefault="00563FCD" w:rsidP="00563FCD">
      <w:pPr>
        <w:spacing w:after="0" w:line="257" w:lineRule="auto"/>
        <w:jc w:val="both"/>
        <w:rPr>
          <w:rFonts w:ascii="Aptos" w:eastAsia="Aptos" w:hAnsi="Aptos" w:cs="Aptos"/>
          <w:lang w:val="fr-FR"/>
        </w:rPr>
      </w:pPr>
    </w:p>
    <w:p w14:paraId="5EA641B1" w14:textId="77777777" w:rsidR="00563FCD" w:rsidRPr="00563FCD" w:rsidRDefault="00563FCD" w:rsidP="00563FCD">
      <w:pPr>
        <w:spacing w:after="0" w:line="257" w:lineRule="auto"/>
        <w:jc w:val="both"/>
        <w:rPr>
          <w:rFonts w:ascii="Aptos" w:eastAsia="Aptos" w:hAnsi="Aptos" w:cs="Aptos"/>
          <w:lang w:val="fr-FR"/>
        </w:rPr>
      </w:pPr>
      <w:r w:rsidRPr="00563FCD">
        <w:rPr>
          <w:rFonts w:ascii="Aptos" w:eastAsia="Aptos" w:hAnsi="Aptos" w:cs="Aptos"/>
          <w:lang w:val="fr-FR"/>
        </w:rPr>
        <w:t>Les régions demandent donc :</w:t>
      </w:r>
    </w:p>
    <w:p w14:paraId="2B331040" w14:textId="195DC436" w:rsidR="00563FCD" w:rsidRPr="00563FCD" w:rsidRDefault="00563FCD" w:rsidP="00C63AF9">
      <w:pPr>
        <w:pStyle w:val="Paragraphedeliste"/>
        <w:numPr>
          <w:ilvl w:val="0"/>
          <w:numId w:val="6"/>
        </w:numPr>
        <w:spacing w:after="0" w:line="257" w:lineRule="auto"/>
        <w:jc w:val="both"/>
        <w:rPr>
          <w:rFonts w:ascii="Aptos" w:eastAsia="Aptos" w:hAnsi="Aptos" w:cs="Aptos"/>
          <w:lang w:val="fr-FR"/>
        </w:rPr>
      </w:pPr>
      <w:r w:rsidRPr="00563FCD">
        <w:rPr>
          <w:rFonts w:ascii="Aptos" w:eastAsia="Aptos" w:hAnsi="Aptos" w:cs="Aptos"/>
          <w:lang w:val="fr-FR"/>
        </w:rPr>
        <w:t>De définir un cadre de mise en œuvre réaliste ;</w:t>
      </w:r>
    </w:p>
    <w:p w14:paraId="2A626D42" w14:textId="6B464888" w:rsidR="00563FCD" w:rsidRPr="00563FCD" w:rsidRDefault="00563FCD" w:rsidP="00C63AF9">
      <w:pPr>
        <w:pStyle w:val="Paragraphedeliste"/>
        <w:numPr>
          <w:ilvl w:val="0"/>
          <w:numId w:val="6"/>
        </w:numPr>
        <w:spacing w:after="0" w:line="257" w:lineRule="auto"/>
        <w:jc w:val="both"/>
        <w:rPr>
          <w:rFonts w:ascii="Aptos" w:eastAsia="Aptos" w:hAnsi="Aptos" w:cs="Aptos"/>
          <w:lang w:val="fr-FR"/>
        </w:rPr>
      </w:pPr>
      <w:r w:rsidRPr="00563FCD">
        <w:rPr>
          <w:rFonts w:ascii="Aptos" w:eastAsia="Aptos" w:hAnsi="Aptos" w:cs="Aptos"/>
          <w:lang w:val="fr-FR"/>
        </w:rPr>
        <w:t>De faciliter la transition entre les deux périodes de programmation.</w:t>
      </w:r>
    </w:p>
    <w:p w14:paraId="479E0DCB" w14:textId="7A6D2BCB" w:rsidR="00F85C88" w:rsidRPr="00563FCD" w:rsidRDefault="00F85C88" w:rsidP="00BD2C68">
      <w:pPr>
        <w:pStyle w:val="Paragraphedeliste"/>
        <w:spacing w:after="0" w:line="257" w:lineRule="auto"/>
        <w:ind w:hanging="360"/>
        <w:jc w:val="both"/>
        <w:rPr>
          <w:rFonts w:ascii="Aptos" w:eastAsia="Aptos" w:hAnsi="Aptos" w:cs="Aptos"/>
          <w:lang w:val="fr-FR"/>
        </w:rPr>
      </w:pPr>
    </w:p>
    <w:p w14:paraId="4C596FFB" w14:textId="77777777" w:rsidR="00563FCD" w:rsidRPr="00563FCD" w:rsidRDefault="00563FCD" w:rsidP="00563FCD">
      <w:pPr>
        <w:spacing w:after="0" w:line="257" w:lineRule="auto"/>
        <w:jc w:val="both"/>
        <w:rPr>
          <w:rFonts w:ascii="Aptos" w:eastAsia="Aptos" w:hAnsi="Aptos" w:cs="Aptos"/>
          <w:b/>
          <w:bCs/>
          <w:lang w:val="fr-FR"/>
        </w:rPr>
      </w:pPr>
      <w:r w:rsidRPr="00563FCD">
        <w:rPr>
          <w:rFonts w:ascii="Aptos" w:eastAsia="Aptos" w:hAnsi="Aptos" w:cs="Aptos"/>
          <w:b/>
          <w:bCs/>
          <w:lang w:val="fr-FR"/>
        </w:rPr>
        <w:t>Préfinancement</w:t>
      </w:r>
    </w:p>
    <w:p w14:paraId="60CB6B05" w14:textId="77777777" w:rsidR="00563FCD" w:rsidRDefault="00563FCD" w:rsidP="00563FCD">
      <w:pPr>
        <w:spacing w:after="0" w:line="257" w:lineRule="auto"/>
        <w:jc w:val="both"/>
        <w:rPr>
          <w:rFonts w:ascii="Aptos" w:eastAsia="Aptos" w:hAnsi="Aptos" w:cs="Aptos"/>
          <w:lang w:val="fr-FR"/>
        </w:rPr>
      </w:pPr>
    </w:p>
    <w:p w14:paraId="1E29D138" w14:textId="1212BE40" w:rsidR="00563FCD" w:rsidRPr="00563FCD" w:rsidRDefault="00563FCD" w:rsidP="00563FCD">
      <w:pPr>
        <w:spacing w:after="0" w:line="257" w:lineRule="auto"/>
        <w:jc w:val="both"/>
        <w:rPr>
          <w:rFonts w:ascii="Aptos" w:eastAsia="Aptos" w:hAnsi="Aptos" w:cs="Aptos"/>
          <w:lang w:val="fr-FR"/>
        </w:rPr>
      </w:pPr>
      <w:r w:rsidRPr="00563FCD">
        <w:rPr>
          <w:rFonts w:ascii="Aptos" w:eastAsia="Aptos" w:hAnsi="Aptos" w:cs="Aptos"/>
          <w:lang w:val="fr-FR"/>
        </w:rPr>
        <w:t xml:space="preserve">Les niveaux de préfinancement proposés sont trop bas. Alors que la Commission européenne a proposé de renforcer la dimension « performance » des </w:t>
      </w:r>
      <w:r>
        <w:rPr>
          <w:rFonts w:ascii="Aptos" w:eastAsia="Aptos" w:hAnsi="Aptos" w:cs="Aptos"/>
          <w:lang w:val="fr-FR"/>
        </w:rPr>
        <w:t>P</w:t>
      </w:r>
      <w:r w:rsidRPr="00563FCD">
        <w:rPr>
          <w:rFonts w:ascii="Aptos" w:eastAsia="Aptos" w:hAnsi="Aptos" w:cs="Aptos"/>
          <w:lang w:val="fr-FR"/>
        </w:rPr>
        <w:t xml:space="preserve">lans PNR, en s'inspirant de la </w:t>
      </w:r>
      <w:r>
        <w:rPr>
          <w:rFonts w:ascii="Aptos" w:eastAsia="Aptos" w:hAnsi="Aptos" w:cs="Aptos"/>
          <w:lang w:val="fr-FR"/>
        </w:rPr>
        <w:t>F</w:t>
      </w:r>
      <w:r w:rsidRPr="00563FCD">
        <w:rPr>
          <w:rFonts w:ascii="Aptos" w:eastAsia="Aptos" w:hAnsi="Aptos" w:cs="Aptos"/>
          <w:lang w:val="fr-FR"/>
        </w:rPr>
        <w:t>acilité pour la reprise et la résilience (FRR), les mêmes niveaux de préfinancement ne sont pas proposés.</w:t>
      </w:r>
    </w:p>
    <w:p w14:paraId="454C0D70" w14:textId="77777777" w:rsidR="00563FCD" w:rsidRPr="00563FCD" w:rsidRDefault="00563FCD" w:rsidP="00563FCD">
      <w:pPr>
        <w:spacing w:after="0" w:line="257" w:lineRule="auto"/>
        <w:jc w:val="both"/>
        <w:rPr>
          <w:rFonts w:ascii="Aptos" w:eastAsia="Aptos" w:hAnsi="Aptos" w:cs="Aptos"/>
          <w:lang w:val="fr-FR"/>
        </w:rPr>
      </w:pPr>
    </w:p>
    <w:p w14:paraId="41294D4B" w14:textId="11AC4F17" w:rsidR="00563FCD" w:rsidRPr="00563FCD" w:rsidRDefault="00563FCD" w:rsidP="00563FCD">
      <w:pPr>
        <w:spacing w:after="0" w:line="257" w:lineRule="auto"/>
        <w:jc w:val="both"/>
        <w:rPr>
          <w:rFonts w:ascii="Aptos" w:eastAsia="Aptos" w:hAnsi="Aptos" w:cs="Aptos"/>
          <w:lang w:val="fr-FR"/>
        </w:rPr>
      </w:pPr>
      <w:r w:rsidRPr="00563FCD">
        <w:rPr>
          <w:rFonts w:ascii="Aptos" w:eastAsia="Aptos" w:hAnsi="Aptos" w:cs="Aptos"/>
          <w:lang w:val="fr-FR"/>
        </w:rPr>
        <w:t>Les régions demandent que le montant du préfinancement soit porté de 10 % à 13 % (comme adopté dans le règlement relatif à l'examen à mi-parcours).</w:t>
      </w:r>
    </w:p>
    <w:p w14:paraId="189414B5" w14:textId="77777777" w:rsidR="005D732F" w:rsidRPr="004F41DC" w:rsidRDefault="005D732F" w:rsidP="005D732F">
      <w:pPr>
        <w:spacing w:after="0" w:line="257" w:lineRule="auto"/>
        <w:jc w:val="both"/>
        <w:rPr>
          <w:rFonts w:ascii="Aptos" w:eastAsia="Aptos" w:hAnsi="Aptos" w:cs="Aptos"/>
          <w:lang w:val="fr-FR"/>
        </w:rPr>
      </w:pPr>
    </w:p>
    <w:p w14:paraId="485CECC1" w14:textId="77777777" w:rsidR="005D732F" w:rsidRPr="005D732F" w:rsidRDefault="005D732F" w:rsidP="005D732F">
      <w:pPr>
        <w:spacing w:after="0" w:line="257" w:lineRule="auto"/>
        <w:jc w:val="both"/>
        <w:rPr>
          <w:rFonts w:ascii="Aptos" w:eastAsia="Aptos" w:hAnsi="Aptos" w:cs="Aptos"/>
          <w:b/>
          <w:bCs/>
          <w:lang w:val="fr-FR"/>
        </w:rPr>
      </w:pPr>
      <w:r w:rsidRPr="005D732F">
        <w:rPr>
          <w:rFonts w:ascii="Aptos" w:eastAsia="Aptos" w:hAnsi="Aptos" w:cs="Aptos"/>
          <w:b/>
          <w:bCs/>
          <w:lang w:val="fr-FR"/>
        </w:rPr>
        <w:t xml:space="preserve">Flexibilité  </w:t>
      </w:r>
    </w:p>
    <w:p w14:paraId="238CD15F" w14:textId="77777777" w:rsidR="005D732F" w:rsidRDefault="005D732F" w:rsidP="005D732F">
      <w:pPr>
        <w:spacing w:after="0" w:line="257" w:lineRule="auto"/>
        <w:jc w:val="both"/>
        <w:rPr>
          <w:rFonts w:ascii="Aptos" w:eastAsia="Aptos" w:hAnsi="Aptos" w:cs="Aptos"/>
          <w:lang w:val="fr-FR"/>
        </w:rPr>
      </w:pPr>
    </w:p>
    <w:p w14:paraId="2FF3772A" w14:textId="1D716DC5" w:rsidR="005D732F" w:rsidRPr="005D732F" w:rsidRDefault="005D732F" w:rsidP="005D732F">
      <w:pPr>
        <w:spacing w:after="0" w:line="257" w:lineRule="auto"/>
        <w:jc w:val="both"/>
        <w:rPr>
          <w:rFonts w:ascii="Aptos" w:eastAsia="Aptos" w:hAnsi="Aptos" w:cs="Aptos"/>
          <w:lang w:val="fr-FR"/>
        </w:rPr>
      </w:pPr>
      <w:r w:rsidRPr="005D732F">
        <w:rPr>
          <w:rFonts w:ascii="Aptos" w:eastAsia="Aptos" w:hAnsi="Aptos" w:cs="Aptos"/>
          <w:lang w:val="fr-FR"/>
        </w:rPr>
        <w:t>Si les régions reconnaissent l'intérêt des dispositions en matière de flexibilité, elles soulignent également qu'une flexibilité excessive n'est pas compatible avec une politique à long terme et que le taux de flexibilité de 25 % est beaucoup trop élevé.</w:t>
      </w:r>
    </w:p>
    <w:p w14:paraId="1F32047B" w14:textId="77777777" w:rsidR="005D732F" w:rsidRDefault="005D732F" w:rsidP="005D732F">
      <w:pPr>
        <w:spacing w:after="0" w:line="257" w:lineRule="auto"/>
        <w:jc w:val="both"/>
        <w:rPr>
          <w:rFonts w:ascii="Aptos" w:eastAsia="Aptos" w:hAnsi="Aptos" w:cs="Aptos"/>
          <w:lang w:val="fr-FR"/>
        </w:rPr>
      </w:pPr>
    </w:p>
    <w:p w14:paraId="2A2F51F0" w14:textId="0F5DDE9E" w:rsidR="005D732F" w:rsidRPr="005D732F" w:rsidRDefault="005D732F" w:rsidP="005D732F">
      <w:pPr>
        <w:spacing w:after="0" w:line="257" w:lineRule="auto"/>
        <w:jc w:val="both"/>
        <w:rPr>
          <w:rFonts w:ascii="Aptos" w:eastAsia="Aptos" w:hAnsi="Aptos" w:cs="Aptos"/>
          <w:lang w:val="fr-FR"/>
        </w:rPr>
      </w:pPr>
      <w:r w:rsidRPr="005D732F">
        <w:rPr>
          <w:rFonts w:ascii="Aptos" w:eastAsia="Aptos" w:hAnsi="Aptos" w:cs="Aptos"/>
          <w:lang w:val="fr-FR"/>
        </w:rPr>
        <w:t xml:space="preserve">Les régions demandent donc que : </w:t>
      </w:r>
    </w:p>
    <w:p w14:paraId="74672932" w14:textId="58AF1E53" w:rsidR="005D732F" w:rsidRPr="005D732F" w:rsidRDefault="005D732F" w:rsidP="00C63AF9">
      <w:pPr>
        <w:pStyle w:val="Paragraphedeliste"/>
        <w:numPr>
          <w:ilvl w:val="0"/>
          <w:numId w:val="6"/>
        </w:numPr>
        <w:spacing w:after="0" w:line="257" w:lineRule="auto"/>
        <w:jc w:val="both"/>
        <w:rPr>
          <w:rFonts w:ascii="Aptos" w:eastAsia="Aptos" w:hAnsi="Aptos" w:cs="Aptos"/>
          <w:lang w:val="fr-FR"/>
        </w:rPr>
      </w:pPr>
      <w:r w:rsidRPr="005D732F">
        <w:rPr>
          <w:rFonts w:ascii="Aptos" w:eastAsia="Aptos" w:hAnsi="Aptos" w:cs="Aptos"/>
          <w:lang w:val="fr-FR"/>
        </w:rPr>
        <w:t>Le montant de la flexibilité soit ramené à 10 %, comme dans la révision à mi-parcours 2021-2027.</w:t>
      </w:r>
    </w:p>
    <w:p w14:paraId="5BA8AAD4" w14:textId="57F33595" w:rsidR="005D732F" w:rsidRPr="005D732F" w:rsidRDefault="005D732F" w:rsidP="00C63AF9">
      <w:pPr>
        <w:pStyle w:val="Paragraphedeliste"/>
        <w:numPr>
          <w:ilvl w:val="0"/>
          <w:numId w:val="6"/>
        </w:numPr>
        <w:spacing w:after="0" w:line="257" w:lineRule="auto"/>
        <w:jc w:val="both"/>
        <w:rPr>
          <w:rFonts w:ascii="Aptos" w:eastAsia="Aptos" w:hAnsi="Aptos" w:cs="Aptos"/>
          <w:lang w:val="fr-FR"/>
        </w:rPr>
      </w:pPr>
      <w:r w:rsidRPr="005D732F">
        <w:rPr>
          <w:rFonts w:ascii="Aptos" w:eastAsia="Aptos" w:hAnsi="Aptos" w:cs="Aptos"/>
          <w:lang w:val="fr-FR"/>
        </w:rPr>
        <w:t xml:space="preserve">Les instruments de flexibilité restent </w:t>
      </w:r>
      <w:r>
        <w:rPr>
          <w:rFonts w:ascii="Aptos" w:eastAsia="Aptos" w:hAnsi="Aptos" w:cs="Aptos"/>
          <w:lang w:val="fr-FR"/>
        </w:rPr>
        <w:t>dans le cadre de la</w:t>
      </w:r>
      <w:r w:rsidRPr="005D732F">
        <w:rPr>
          <w:rFonts w:ascii="Aptos" w:eastAsia="Aptos" w:hAnsi="Aptos" w:cs="Aptos"/>
          <w:lang w:val="fr-FR"/>
        </w:rPr>
        <w:t xml:space="preserve"> gestion partagée au niveau régional.</w:t>
      </w:r>
    </w:p>
    <w:p w14:paraId="4F4D8511" w14:textId="77777777" w:rsidR="005D732F" w:rsidRDefault="005D732F" w:rsidP="005D732F">
      <w:pPr>
        <w:spacing w:after="0" w:line="257" w:lineRule="auto"/>
        <w:jc w:val="both"/>
      </w:pPr>
    </w:p>
    <w:p w14:paraId="6819D58A" w14:textId="77777777" w:rsidR="005D732F" w:rsidRPr="005D732F" w:rsidRDefault="005D732F" w:rsidP="005D732F">
      <w:pPr>
        <w:spacing w:after="0" w:line="257" w:lineRule="auto"/>
        <w:jc w:val="both"/>
        <w:rPr>
          <w:b/>
          <w:bCs/>
        </w:rPr>
      </w:pPr>
      <w:r w:rsidRPr="005D732F">
        <w:rPr>
          <w:b/>
          <w:bCs/>
        </w:rPr>
        <w:t xml:space="preserve">Interreg  </w:t>
      </w:r>
    </w:p>
    <w:p w14:paraId="39B062B1" w14:textId="77777777" w:rsidR="005D732F" w:rsidRDefault="005D732F" w:rsidP="005D732F">
      <w:pPr>
        <w:spacing w:after="0" w:line="257" w:lineRule="auto"/>
        <w:jc w:val="both"/>
      </w:pPr>
    </w:p>
    <w:p w14:paraId="42220D2A" w14:textId="761F21FE" w:rsidR="005D732F" w:rsidRDefault="005D732F" w:rsidP="005D732F">
      <w:pPr>
        <w:spacing w:after="0" w:line="257" w:lineRule="auto"/>
        <w:jc w:val="both"/>
      </w:pPr>
      <w:r>
        <w:t>Au-delà de son rôle d'instrument de coopération, Interreg doit être renforcé en tant qu'instrument de développement des territoires européens. Par ailleurs, le cadre de performance unique proposé pourrait s'avérer très difficile à appliquer aux programmes transfrontaliers, transnationaux ou interrégionaux.</w:t>
      </w:r>
    </w:p>
    <w:p w14:paraId="2F5FCBAA" w14:textId="77777777" w:rsidR="005D732F" w:rsidRDefault="005D732F" w:rsidP="005D732F">
      <w:pPr>
        <w:spacing w:after="0" w:line="257" w:lineRule="auto"/>
        <w:jc w:val="both"/>
      </w:pPr>
    </w:p>
    <w:p w14:paraId="09151692" w14:textId="77777777" w:rsidR="005D732F" w:rsidRDefault="005D732F" w:rsidP="005D732F">
      <w:pPr>
        <w:spacing w:after="0" w:line="257" w:lineRule="auto"/>
        <w:jc w:val="both"/>
      </w:pPr>
      <w:r>
        <w:t>Les régions demandent donc que :</w:t>
      </w:r>
    </w:p>
    <w:p w14:paraId="090FA267" w14:textId="23680FA7" w:rsidR="005D732F" w:rsidRDefault="005D732F" w:rsidP="00C63AF9">
      <w:pPr>
        <w:pStyle w:val="Paragraphedeliste"/>
        <w:numPr>
          <w:ilvl w:val="0"/>
          <w:numId w:val="7"/>
        </w:numPr>
        <w:spacing w:after="0" w:line="257" w:lineRule="auto"/>
        <w:jc w:val="both"/>
      </w:pPr>
      <w:r>
        <w:t xml:space="preserve">Les programmes transfrontaliers et transnationaux soient explicitement habilités à répondre aux besoins de développement structurel, au-delà des activités de coopération traditionnelles. </w:t>
      </w:r>
    </w:p>
    <w:p w14:paraId="37D60835" w14:textId="6A2D2F3D" w:rsidR="005D732F" w:rsidRDefault="005D732F" w:rsidP="00C63AF9">
      <w:pPr>
        <w:pStyle w:val="Paragraphedeliste"/>
        <w:numPr>
          <w:ilvl w:val="0"/>
          <w:numId w:val="7"/>
        </w:numPr>
        <w:spacing w:after="0" w:line="257" w:lineRule="auto"/>
        <w:jc w:val="both"/>
      </w:pPr>
      <w:r>
        <w:t xml:space="preserve">Chaque programme soit habilité à définir ses propres seuils de performance, à sélectionner les indicateurs appropriés dans le cadre commun, et à établir des mesures d'atténuation adaptées à la nature spécifique de la coopération territoriale. </w:t>
      </w:r>
    </w:p>
    <w:p w14:paraId="751637FF" w14:textId="354FC884" w:rsidR="005D732F" w:rsidRDefault="005D732F" w:rsidP="00C63AF9">
      <w:pPr>
        <w:pStyle w:val="Paragraphedeliste"/>
        <w:numPr>
          <w:ilvl w:val="0"/>
          <w:numId w:val="7"/>
        </w:numPr>
        <w:spacing w:after="0" w:line="257" w:lineRule="auto"/>
        <w:jc w:val="both"/>
      </w:pPr>
      <w:r>
        <w:t>Les actes d'exécution ne soient pas utilisés de manière extensive, car ils réduisent la prévisibilité lors de la préparation des programmes et la sécurité juridique lors de leur mise en œuvre. Comme pour la période 2021-2027, le cadre juridique devrait être défini par des règlements couvrant tous les éléments essentiels (y compris les règles d'éligibilité).</w:t>
      </w:r>
    </w:p>
    <w:p w14:paraId="0B4F292B" w14:textId="77777777" w:rsidR="005D732F" w:rsidRPr="004F41DC" w:rsidRDefault="005D732F" w:rsidP="005D732F">
      <w:pPr>
        <w:spacing w:after="0" w:line="254" w:lineRule="auto"/>
        <w:jc w:val="both"/>
        <w:rPr>
          <w:rFonts w:ascii="Aptos" w:eastAsia="Aptos" w:hAnsi="Aptos" w:cs="Aptos"/>
          <w:lang w:val="fr-FR"/>
        </w:rPr>
      </w:pPr>
    </w:p>
    <w:p w14:paraId="77A2D5DA" w14:textId="77777777" w:rsidR="00C63AF9" w:rsidRPr="00C63AF9" w:rsidRDefault="00C63AF9" w:rsidP="00C63AF9">
      <w:pPr>
        <w:spacing w:after="0" w:line="254" w:lineRule="auto"/>
        <w:jc w:val="both"/>
        <w:rPr>
          <w:rFonts w:ascii="Aptos" w:eastAsia="Aptos" w:hAnsi="Aptos" w:cs="Aptos"/>
          <w:b/>
          <w:bCs/>
          <w:lang w:val="fr-FR"/>
        </w:rPr>
      </w:pPr>
      <w:r w:rsidRPr="00C63AF9">
        <w:rPr>
          <w:rFonts w:ascii="Aptos" w:eastAsia="Aptos" w:hAnsi="Aptos" w:cs="Aptos"/>
          <w:b/>
          <w:bCs/>
          <w:lang w:val="fr-FR"/>
        </w:rPr>
        <w:t>Plus forts ensemble : aucune région ne doit être laissée pour compte</w:t>
      </w:r>
    </w:p>
    <w:p w14:paraId="0B7A4DB0" w14:textId="77777777" w:rsidR="00C63AF9" w:rsidRDefault="00C63AF9" w:rsidP="00C63AF9">
      <w:pPr>
        <w:spacing w:after="0" w:line="254" w:lineRule="auto"/>
        <w:jc w:val="both"/>
        <w:rPr>
          <w:rFonts w:ascii="Aptos" w:eastAsia="Aptos" w:hAnsi="Aptos" w:cs="Aptos"/>
          <w:lang w:val="fr-FR"/>
        </w:rPr>
      </w:pPr>
    </w:p>
    <w:p w14:paraId="4B86F3D7" w14:textId="7DDFBD9E" w:rsidR="00C63AF9" w:rsidRDefault="00C63AF9" w:rsidP="00C63AF9">
      <w:pPr>
        <w:spacing w:after="0" w:line="254" w:lineRule="auto"/>
        <w:jc w:val="both"/>
        <w:rPr>
          <w:rFonts w:ascii="Aptos" w:eastAsia="Aptos" w:hAnsi="Aptos" w:cs="Aptos"/>
          <w:lang w:val="fr-FR"/>
        </w:rPr>
      </w:pPr>
      <w:r w:rsidRPr="00C63AF9">
        <w:rPr>
          <w:rFonts w:ascii="Aptos" w:eastAsia="Aptos" w:hAnsi="Aptos" w:cs="Aptos"/>
          <w:lang w:val="fr-FR"/>
        </w:rPr>
        <w:t>Toutes les régions doivent être soutenues afin de garantir la cohésion, la résilience et la prospérité partagée dans toute l'UE. Les régions demandent donc :</w:t>
      </w:r>
    </w:p>
    <w:p w14:paraId="06FD04CE" w14:textId="77777777" w:rsidR="00C63AF9" w:rsidRPr="00C63AF9" w:rsidRDefault="00C63AF9" w:rsidP="00C63AF9">
      <w:pPr>
        <w:spacing w:after="0" w:line="254" w:lineRule="auto"/>
        <w:jc w:val="both"/>
        <w:rPr>
          <w:rFonts w:ascii="Aptos" w:eastAsia="Aptos" w:hAnsi="Aptos" w:cs="Aptos"/>
          <w:lang w:val="fr-FR"/>
        </w:rPr>
      </w:pPr>
    </w:p>
    <w:p w14:paraId="1B51F4E8" w14:textId="4749E5F3" w:rsidR="00C63AF9" w:rsidRDefault="00C63AF9" w:rsidP="00C63AF9">
      <w:pPr>
        <w:pStyle w:val="Paragraphedeliste"/>
        <w:numPr>
          <w:ilvl w:val="0"/>
          <w:numId w:val="8"/>
        </w:numPr>
        <w:spacing w:after="0" w:line="254" w:lineRule="auto"/>
        <w:jc w:val="both"/>
        <w:rPr>
          <w:rFonts w:ascii="Aptos" w:eastAsia="Aptos" w:hAnsi="Aptos" w:cs="Aptos"/>
          <w:lang w:val="fr-FR"/>
        </w:rPr>
      </w:pPr>
      <w:r w:rsidRPr="00C63AF9">
        <w:rPr>
          <w:rFonts w:ascii="Aptos" w:eastAsia="Aptos" w:hAnsi="Aptos" w:cs="Aptos"/>
          <w:lang w:val="fr-FR"/>
        </w:rPr>
        <w:t>Une allocation distincte pour les régions frontalières orientales adjacentes à la Russie, à la Biélorussie et à l'Ukraine. La proposition actuelle ne considère comme « régions frontalières orientales » que les régions limitrophes de la Russie et de la Biélorussie. Les défis et les charges résultant du conflit armé en cours affectent, à des degrés divers, toutes les régions frontalières, y compris celles voisines de l'Ukraine.</w:t>
      </w:r>
    </w:p>
    <w:p w14:paraId="63FA5307" w14:textId="3EC4B49E" w:rsidR="00C63AF9" w:rsidRPr="005D732F" w:rsidRDefault="00C63AF9" w:rsidP="00C63AF9">
      <w:pPr>
        <w:pStyle w:val="Paragraphedeliste"/>
        <w:numPr>
          <w:ilvl w:val="0"/>
          <w:numId w:val="8"/>
        </w:numPr>
        <w:spacing w:after="0" w:line="254" w:lineRule="auto"/>
        <w:jc w:val="both"/>
        <w:rPr>
          <w:rFonts w:ascii="Aptos" w:eastAsia="Aptos" w:hAnsi="Aptos" w:cs="Aptos"/>
          <w:lang w:val="fr-FR"/>
        </w:rPr>
      </w:pPr>
      <w:r w:rsidRPr="00C63AF9">
        <w:rPr>
          <w:rFonts w:ascii="Aptos" w:eastAsia="Aptos" w:hAnsi="Aptos" w:cs="Aptos"/>
          <w:lang w:val="fr-FR"/>
        </w:rPr>
        <w:t xml:space="preserve">Le rétablissement dans la proposition budgétaire pour 2028-2034 des allocations ciblées pour des régions spécifiquement désignées, comme dans le budget actuel, et </w:t>
      </w:r>
      <w:r>
        <w:rPr>
          <w:rFonts w:ascii="Aptos" w:eastAsia="Aptos" w:hAnsi="Aptos" w:cs="Aptos"/>
          <w:lang w:val="fr-FR"/>
        </w:rPr>
        <w:t>le</w:t>
      </w:r>
      <w:r w:rsidRPr="00C63AF9">
        <w:rPr>
          <w:rFonts w:ascii="Aptos" w:eastAsia="Aptos" w:hAnsi="Aptos" w:cs="Aptos"/>
          <w:lang w:val="fr-FR"/>
        </w:rPr>
        <w:t xml:space="preserve"> respect des articles 174 et 349 du traité.</w:t>
      </w:r>
    </w:p>
    <w:sectPr w:rsidR="00C63AF9" w:rsidRPr="005D732F">
      <w:pgSz w:w="11906" w:h="16838"/>
      <w:pgMar w:top="630" w:right="1134" w:bottom="17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DD9"/>
    <w:multiLevelType w:val="hybridMultilevel"/>
    <w:tmpl w:val="7B42066E"/>
    <w:lvl w:ilvl="0" w:tplc="2CC25D2A">
      <w:numFmt w:val="bullet"/>
      <w:lvlText w:val="•"/>
      <w:lvlJc w:val="left"/>
      <w:pPr>
        <w:ind w:left="720" w:hanging="360"/>
      </w:pPr>
      <w:rPr>
        <w:rFonts w:ascii="Aptos" w:eastAsia="Aptos" w:hAnsi="Apto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928E6"/>
    <w:multiLevelType w:val="hybridMultilevel"/>
    <w:tmpl w:val="5A26E474"/>
    <w:lvl w:ilvl="0" w:tplc="2CC25D2A">
      <w:numFmt w:val="bullet"/>
      <w:lvlText w:val="•"/>
      <w:lvlJc w:val="left"/>
      <w:pPr>
        <w:ind w:left="720" w:hanging="360"/>
      </w:pPr>
      <w:rPr>
        <w:rFonts w:ascii="Aptos" w:eastAsia="Aptos" w:hAnsi="Apto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1408FC"/>
    <w:multiLevelType w:val="hybridMultilevel"/>
    <w:tmpl w:val="D562C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79696D"/>
    <w:multiLevelType w:val="hybridMultilevel"/>
    <w:tmpl w:val="860E2C82"/>
    <w:lvl w:ilvl="0" w:tplc="2CC25D2A">
      <w:numFmt w:val="bullet"/>
      <w:lvlText w:val="•"/>
      <w:lvlJc w:val="left"/>
      <w:pPr>
        <w:ind w:left="720" w:hanging="360"/>
      </w:pPr>
      <w:rPr>
        <w:rFonts w:ascii="Aptos" w:eastAsia="Aptos" w:hAnsi="Apto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C6228F"/>
    <w:multiLevelType w:val="hybridMultilevel"/>
    <w:tmpl w:val="C04CD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C34A1C"/>
    <w:multiLevelType w:val="hybridMultilevel"/>
    <w:tmpl w:val="A2A62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961DCE"/>
    <w:multiLevelType w:val="hybridMultilevel"/>
    <w:tmpl w:val="B6184214"/>
    <w:lvl w:ilvl="0" w:tplc="040C0001">
      <w:start w:val="1"/>
      <w:numFmt w:val="bullet"/>
      <w:lvlText w:val=""/>
      <w:lvlJc w:val="left"/>
      <w:pPr>
        <w:ind w:left="720" w:hanging="360"/>
      </w:pPr>
      <w:rPr>
        <w:rFonts w:ascii="Symbol" w:hAnsi="Symbol" w:hint="default"/>
      </w:rPr>
    </w:lvl>
    <w:lvl w:ilvl="1" w:tplc="4F9C949E">
      <w:numFmt w:val="bullet"/>
      <w:lvlText w:val="·"/>
      <w:lvlJc w:val="left"/>
      <w:pPr>
        <w:ind w:left="1440" w:hanging="360"/>
      </w:pPr>
      <w:rPr>
        <w:rFonts w:ascii="Aptos" w:eastAsia="Aptos" w:hAnsi="Aptos" w:cs="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A0A32B6"/>
    <w:multiLevelType w:val="hybridMultilevel"/>
    <w:tmpl w:val="36E8CF1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4366371">
    <w:abstractNumId w:val="6"/>
  </w:num>
  <w:num w:numId="2" w16cid:durableId="631787825">
    <w:abstractNumId w:val="7"/>
  </w:num>
  <w:num w:numId="3" w16cid:durableId="1351102465">
    <w:abstractNumId w:val="4"/>
  </w:num>
  <w:num w:numId="4" w16cid:durableId="226645316">
    <w:abstractNumId w:val="5"/>
  </w:num>
  <w:num w:numId="5" w16cid:durableId="1674916070">
    <w:abstractNumId w:val="2"/>
  </w:num>
  <w:num w:numId="6" w16cid:durableId="2040667314">
    <w:abstractNumId w:val="1"/>
  </w:num>
  <w:num w:numId="7" w16cid:durableId="1472408352">
    <w:abstractNumId w:val="3"/>
  </w:num>
  <w:num w:numId="8" w16cid:durableId="188016337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6B"/>
    <w:rsid w:val="00004964"/>
    <w:rsid w:val="0000530F"/>
    <w:rsid w:val="00011B51"/>
    <w:rsid w:val="000162F6"/>
    <w:rsid w:val="00034E57"/>
    <w:rsid w:val="00050DD5"/>
    <w:rsid w:val="000641EE"/>
    <w:rsid w:val="00072135"/>
    <w:rsid w:val="00093403"/>
    <w:rsid w:val="00093856"/>
    <w:rsid w:val="00093B7B"/>
    <w:rsid w:val="000B1262"/>
    <w:rsid w:val="000B18B9"/>
    <w:rsid w:val="000C3141"/>
    <w:rsid w:val="000C6525"/>
    <w:rsid w:val="000D1581"/>
    <w:rsid w:val="000D2E4D"/>
    <w:rsid w:val="000E144F"/>
    <w:rsid w:val="000E2377"/>
    <w:rsid w:val="000F70C5"/>
    <w:rsid w:val="0010155D"/>
    <w:rsid w:val="00103854"/>
    <w:rsid w:val="0012098E"/>
    <w:rsid w:val="00122A9B"/>
    <w:rsid w:val="00124150"/>
    <w:rsid w:val="00127901"/>
    <w:rsid w:val="00134E43"/>
    <w:rsid w:val="0014087F"/>
    <w:rsid w:val="0014159E"/>
    <w:rsid w:val="00145068"/>
    <w:rsid w:val="0016136A"/>
    <w:rsid w:val="001616E8"/>
    <w:rsid w:val="001639F7"/>
    <w:rsid w:val="00175E6E"/>
    <w:rsid w:val="00176316"/>
    <w:rsid w:val="001850D4"/>
    <w:rsid w:val="00186BC5"/>
    <w:rsid w:val="00186DF2"/>
    <w:rsid w:val="00189C89"/>
    <w:rsid w:val="001A0159"/>
    <w:rsid w:val="001A37B8"/>
    <w:rsid w:val="001A4847"/>
    <w:rsid w:val="001A595C"/>
    <w:rsid w:val="001C1FA8"/>
    <w:rsid w:val="001C21CB"/>
    <w:rsid w:val="001D02ED"/>
    <w:rsid w:val="001D0B52"/>
    <w:rsid w:val="001D1BDA"/>
    <w:rsid w:val="001D22DF"/>
    <w:rsid w:val="001D66B5"/>
    <w:rsid w:val="001E13D1"/>
    <w:rsid w:val="001F0DC5"/>
    <w:rsid w:val="001F22FF"/>
    <w:rsid w:val="001F7CA7"/>
    <w:rsid w:val="00200096"/>
    <w:rsid w:val="00203463"/>
    <w:rsid w:val="00215750"/>
    <w:rsid w:val="00227B32"/>
    <w:rsid w:val="002320EA"/>
    <w:rsid w:val="002333D4"/>
    <w:rsid w:val="00242F42"/>
    <w:rsid w:val="00247F60"/>
    <w:rsid w:val="00252BB3"/>
    <w:rsid w:val="00253B75"/>
    <w:rsid w:val="00256727"/>
    <w:rsid w:val="00263A73"/>
    <w:rsid w:val="00267A5B"/>
    <w:rsid w:val="002B4798"/>
    <w:rsid w:val="002B7336"/>
    <w:rsid w:val="002B7D23"/>
    <w:rsid w:val="002C3F4F"/>
    <w:rsid w:val="002D244D"/>
    <w:rsid w:val="002D29A7"/>
    <w:rsid w:val="002E1F03"/>
    <w:rsid w:val="00320743"/>
    <w:rsid w:val="00350C40"/>
    <w:rsid w:val="00353213"/>
    <w:rsid w:val="00357219"/>
    <w:rsid w:val="00373A3E"/>
    <w:rsid w:val="003762A5"/>
    <w:rsid w:val="003802D7"/>
    <w:rsid w:val="003913CE"/>
    <w:rsid w:val="003A16D4"/>
    <w:rsid w:val="003B59D5"/>
    <w:rsid w:val="003C69C8"/>
    <w:rsid w:val="003D0313"/>
    <w:rsid w:val="003E4E40"/>
    <w:rsid w:val="003F0C1A"/>
    <w:rsid w:val="003F1584"/>
    <w:rsid w:val="00401EBF"/>
    <w:rsid w:val="004269AD"/>
    <w:rsid w:val="00446A14"/>
    <w:rsid w:val="00446F36"/>
    <w:rsid w:val="00457594"/>
    <w:rsid w:val="004643CC"/>
    <w:rsid w:val="00483008"/>
    <w:rsid w:val="00490ED6"/>
    <w:rsid w:val="00491BBD"/>
    <w:rsid w:val="00496576"/>
    <w:rsid w:val="004A0EDA"/>
    <w:rsid w:val="004A32B3"/>
    <w:rsid w:val="004A585C"/>
    <w:rsid w:val="004C612F"/>
    <w:rsid w:val="004C68D1"/>
    <w:rsid w:val="004F41DC"/>
    <w:rsid w:val="00500CD5"/>
    <w:rsid w:val="00502A0D"/>
    <w:rsid w:val="0051496B"/>
    <w:rsid w:val="0051688D"/>
    <w:rsid w:val="005260D3"/>
    <w:rsid w:val="00540EAB"/>
    <w:rsid w:val="0054547A"/>
    <w:rsid w:val="00546ED4"/>
    <w:rsid w:val="00553B31"/>
    <w:rsid w:val="005576AB"/>
    <w:rsid w:val="00560CB4"/>
    <w:rsid w:val="00563FCD"/>
    <w:rsid w:val="00570BB2"/>
    <w:rsid w:val="00582044"/>
    <w:rsid w:val="00587FD2"/>
    <w:rsid w:val="0059556B"/>
    <w:rsid w:val="005A6B7A"/>
    <w:rsid w:val="005B35C8"/>
    <w:rsid w:val="005B3940"/>
    <w:rsid w:val="005D2E99"/>
    <w:rsid w:val="005D732F"/>
    <w:rsid w:val="005E2CF2"/>
    <w:rsid w:val="005F26C7"/>
    <w:rsid w:val="006034CF"/>
    <w:rsid w:val="00657F9A"/>
    <w:rsid w:val="00686BB8"/>
    <w:rsid w:val="00690D9B"/>
    <w:rsid w:val="0069416D"/>
    <w:rsid w:val="00696B38"/>
    <w:rsid w:val="006A18B7"/>
    <w:rsid w:val="006C1BEA"/>
    <w:rsid w:val="006C490A"/>
    <w:rsid w:val="006D143A"/>
    <w:rsid w:val="006F30C2"/>
    <w:rsid w:val="00702B86"/>
    <w:rsid w:val="0071546E"/>
    <w:rsid w:val="0072038A"/>
    <w:rsid w:val="0073129A"/>
    <w:rsid w:val="00737686"/>
    <w:rsid w:val="00751BBA"/>
    <w:rsid w:val="00754F2A"/>
    <w:rsid w:val="00760098"/>
    <w:rsid w:val="00760A96"/>
    <w:rsid w:val="007813B0"/>
    <w:rsid w:val="00782ACF"/>
    <w:rsid w:val="00786DF0"/>
    <w:rsid w:val="0079334A"/>
    <w:rsid w:val="007A2DB4"/>
    <w:rsid w:val="007A5B0D"/>
    <w:rsid w:val="007A7304"/>
    <w:rsid w:val="007B532B"/>
    <w:rsid w:val="007B6D71"/>
    <w:rsid w:val="007C23BE"/>
    <w:rsid w:val="007C461B"/>
    <w:rsid w:val="007E02C9"/>
    <w:rsid w:val="007E170F"/>
    <w:rsid w:val="007E2352"/>
    <w:rsid w:val="007E2C25"/>
    <w:rsid w:val="007F349D"/>
    <w:rsid w:val="008146F4"/>
    <w:rsid w:val="00823189"/>
    <w:rsid w:val="00824741"/>
    <w:rsid w:val="00833F2D"/>
    <w:rsid w:val="00836EC4"/>
    <w:rsid w:val="008521F3"/>
    <w:rsid w:val="008528B0"/>
    <w:rsid w:val="0087174C"/>
    <w:rsid w:val="00880F17"/>
    <w:rsid w:val="008837FF"/>
    <w:rsid w:val="00885C19"/>
    <w:rsid w:val="00895309"/>
    <w:rsid w:val="008A58CC"/>
    <w:rsid w:val="008A751A"/>
    <w:rsid w:val="008C310B"/>
    <w:rsid w:val="008C772D"/>
    <w:rsid w:val="008D5A6C"/>
    <w:rsid w:val="008E1953"/>
    <w:rsid w:val="008F5C60"/>
    <w:rsid w:val="009008BB"/>
    <w:rsid w:val="00911D25"/>
    <w:rsid w:val="00914E39"/>
    <w:rsid w:val="00925EB4"/>
    <w:rsid w:val="00926F20"/>
    <w:rsid w:val="00927DEC"/>
    <w:rsid w:val="00935BE2"/>
    <w:rsid w:val="00941B50"/>
    <w:rsid w:val="009633D6"/>
    <w:rsid w:val="00972AA7"/>
    <w:rsid w:val="0097393C"/>
    <w:rsid w:val="00984E1D"/>
    <w:rsid w:val="00992A36"/>
    <w:rsid w:val="009938C4"/>
    <w:rsid w:val="00997586"/>
    <w:rsid w:val="009A1673"/>
    <w:rsid w:val="009B0B64"/>
    <w:rsid w:val="009B173A"/>
    <w:rsid w:val="009B2E2E"/>
    <w:rsid w:val="009B4BE5"/>
    <w:rsid w:val="009B55AD"/>
    <w:rsid w:val="009C431B"/>
    <w:rsid w:val="009D3435"/>
    <w:rsid w:val="009D718A"/>
    <w:rsid w:val="009DBC48"/>
    <w:rsid w:val="00A037F1"/>
    <w:rsid w:val="00A074EF"/>
    <w:rsid w:val="00A14DA7"/>
    <w:rsid w:val="00A20DC9"/>
    <w:rsid w:val="00A24CB6"/>
    <w:rsid w:val="00A42833"/>
    <w:rsid w:val="00A45365"/>
    <w:rsid w:val="00A4760C"/>
    <w:rsid w:val="00A519FD"/>
    <w:rsid w:val="00A74339"/>
    <w:rsid w:val="00A80371"/>
    <w:rsid w:val="00A91848"/>
    <w:rsid w:val="00AB271D"/>
    <w:rsid w:val="00AB2E7C"/>
    <w:rsid w:val="00AB6E83"/>
    <w:rsid w:val="00AB71CE"/>
    <w:rsid w:val="00AB7312"/>
    <w:rsid w:val="00AC11DC"/>
    <w:rsid w:val="00AF1B70"/>
    <w:rsid w:val="00AF311C"/>
    <w:rsid w:val="00B01D08"/>
    <w:rsid w:val="00B04E66"/>
    <w:rsid w:val="00B15EA6"/>
    <w:rsid w:val="00B31CD8"/>
    <w:rsid w:val="00B41301"/>
    <w:rsid w:val="00B41E80"/>
    <w:rsid w:val="00B45FC2"/>
    <w:rsid w:val="00B62ADF"/>
    <w:rsid w:val="00B755AC"/>
    <w:rsid w:val="00B77B21"/>
    <w:rsid w:val="00B90D64"/>
    <w:rsid w:val="00B939EB"/>
    <w:rsid w:val="00BA0B67"/>
    <w:rsid w:val="00BA1107"/>
    <w:rsid w:val="00BC0A8F"/>
    <w:rsid w:val="00BC5FFE"/>
    <w:rsid w:val="00BD2C68"/>
    <w:rsid w:val="00BE2015"/>
    <w:rsid w:val="00BE3D22"/>
    <w:rsid w:val="00BE6296"/>
    <w:rsid w:val="00BF2144"/>
    <w:rsid w:val="00C012FD"/>
    <w:rsid w:val="00C04AA0"/>
    <w:rsid w:val="00C062C6"/>
    <w:rsid w:val="00C0710A"/>
    <w:rsid w:val="00C2742B"/>
    <w:rsid w:val="00C34C43"/>
    <w:rsid w:val="00C40157"/>
    <w:rsid w:val="00C535AF"/>
    <w:rsid w:val="00C6335A"/>
    <w:rsid w:val="00C63AF9"/>
    <w:rsid w:val="00C70214"/>
    <w:rsid w:val="00C7FCF0"/>
    <w:rsid w:val="00C96916"/>
    <w:rsid w:val="00CA7443"/>
    <w:rsid w:val="00CB532A"/>
    <w:rsid w:val="00CB69DC"/>
    <w:rsid w:val="00CC3B9B"/>
    <w:rsid w:val="00CD1A9F"/>
    <w:rsid w:val="00CF1348"/>
    <w:rsid w:val="00CF5647"/>
    <w:rsid w:val="00CF60F8"/>
    <w:rsid w:val="00CF738F"/>
    <w:rsid w:val="00D0511D"/>
    <w:rsid w:val="00D1158A"/>
    <w:rsid w:val="00D14FDF"/>
    <w:rsid w:val="00D157C1"/>
    <w:rsid w:val="00D35D1A"/>
    <w:rsid w:val="00D50630"/>
    <w:rsid w:val="00D50E64"/>
    <w:rsid w:val="00D6049A"/>
    <w:rsid w:val="00D60CA1"/>
    <w:rsid w:val="00D60FD1"/>
    <w:rsid w:val="00D72E06"/>
    <w:rsid w:val="00D7451E"/>
    <w:rsid w:val="00D85C55"/>
    <w:rsid w:val="00D9619A"/>
    <w:rsid w:val="00DB67D3"/>
    <w:rsid w:val="00DC36A9"/>
    <w:rsid w:val="00DC3E3A"/>
    <w:rsid w:val="00DC4F21"/>
    <w:rsid w:val="00DC5C5E"/>
    <w:rsid w:val="00DE1459"/>
    <w:rsid w:val="00DE14DD"/>
    <w:rsid w:val="00DE9D33"/>
    <w:rsid w:val="00E000DC"/>
    <w:rsid w:val="00E261AC"/>
    <w:rsid w:val="00E33654"/>
    <w:rsid w:val="00E5114A"/>
    <w:rsid w:val="00E626E8"/>
    <w:rsid w:val="00E75202"/>
    <w:rsid w:val="00E759A7"/>
    <w:rsid w:val="00E7782B"/>
    <w:rsid w:val="00E82A06"/>
    <w:rsid w:val="00E84ECA"/>
    <w:rsid w:val="00E95260"/>
    <w:rsid w:val="00E96E15"/>
    <w:rsid w:val="00EC4C27"/>
    <w:rsid w:val="00EC5430"/>
    <w:rsid w:val="00ED259B"/>
    <w:rsid w:val="00ED4340"/>
    <w:rsid w:val="00EE2DD2"/>
    <w:rsid w:val="00EE7A2C"/>
    <w:rsid w:val="00EE7EE5"/>
    <w:rsid w:val="00EF1BF4"/>
    <w:rsid w:val="00F0032C"/>
    <w:rsid w:val="00F02653"/>
    <w:rsid w:val="00F17604"/>
    <w:rsid w:val="00F17780"/>
    <w:rsid w:val="00F22320"/>
    <w:rsid w:val="00F4094A"/>
    <w:rsid w:val="00F4631C"/>
    <w:rsid w:val="00F471F2"/>
    <w:rsid w:val="00F6133F"/>
    <w:rsid w:val="00F64871"/>
    <w:rsid w:val="00F7E6CF"/>
    <w:rsid w:val="00F83A07"/>
    <w:rsid w:val="00F85C88"/>
    <w:rsid w:val="00F9374D"/>
    <w:rsid w:val="00F95C29"/>
    <w:rsid w:val="00F96D4B"/>
    <w:rsid w:val="00FA37AC"/>
    <w:rsid w:val="00FA7285"/>
    <w:rsid w:val="00FC012E"/>
    <w:rsid w:val="00FC2AFD"/>
    <w:rsid w:val="00FC2BD0"/>
    <w:rsid w:val="00FD20CB"/>
    <w:rsid w:val="00FD397E"/>
    <w:rsid w:val="00FDD31D"/>
    <w:rsid w:val="00FE7C46"/>
    <w:rsid w:val="00FF1D94"/>
    <w:rsid w:val="00FF29D1"/>
    <w:rsid w:val="010F65FE"/>
    <w:rsid w:val="01127FAC"/>
    <w:rsid w:val="012B091F"/>
    <w:rsid w:val="01507728"/>
    <w:rsid w:val="016336B7"/>
    <w:rsid w:val="01818A08"/>
    <w:rsid w:val="01980712"/>
    <w:rsid w:val="01ADD7B0"/>
    <w:rsid w:val="01B04CC5"/>
    <w:rsid w:val="0207A3BF"/>
    <w:rsid w:val="02282339"/>
    <w:rsid w:val="02585D56"/>
    <w:rsid w:val="028738A6"/>
    <w:rsid w:val="02A28E86"/>
    <w:rsid w:val="02EE022E"/>
    <w:rsid w:val="03996CFA"/>
    <w:rsid w:val="03AD6E69"/>
    <w:rsid w:val="03C85A9C"/>
    <w:rsid w:val="03FBE572"/>
    <w:rsid w:val="040109F7"/>
    <w:rsid w:val="041430E8"/>
    <w:rsid w:val="0462ABF3"/>
    <w:rsid w:val="046D3E8A"/>
    <w:rsid w:val="04768687"/>
    <w:rsid w:val="047FB53C"/>
    <w:rsid w:val="049307C7"/>
    <w:rsid w:val="049E642F"/>
    <w:rsid w:val="04E1A63F"/>
    <w:rsid w:val="04E67A43"/>
    <w:rsid w:val="04F004B3"/>
    <w:rsid w:val="05283E53"/>
    <w:rsid w:val="053F40C5"/>
    <w:rsid w:val="05578923"/>
    <w:rsid w:val="056EF694"/>
    <w:rsid w:val="0573BC72"/>
    <w:rsid w:val="05A9502A"/>
    <w:rsid w:val="05B52314"/>
    <w:rsid w:val="05CB32F5"/>
    <w:rsid w:val="05E136A0"/>
    <w:rsid w:val="05E77A95"/>
    <w:rsid w:val="05ECA546"/>
    <w:rsid w:val="061A1A19"/>
    <w:rsid w:val="06214540"/>
    <w:rsid w:val="0638447B"/>
    <w:rsid w:val="0668B569"/>
    <w:rsid w:val="067FB2FE"/>
    <w:rsid w:val="06A0A799"/>
    <w:rsid w:val="06CC75DD"/>
    <w:rsid w:val="070E0D9F"/>
    <w:rsid w:val="071FD01C"/>
    <w:rsid w:val="072DF669"/>
    <w:rsid w:val="0753C843"/>
    <w:rsid w:val="07799A98"/>
    <w:rsid w:val="07F2BB28"/>
    <w:rsid w:val="07FC7FE0"/>
    <w:rsid w:val="0836EC7C"/>
    <w:rsid w:val="08598A0C"/>
    <w:rsid w:val="087FF9A0"/>
    <w:rsid w:val="08855E87"/>
    <w:rsid w:val="08A2BD76"/>
    <w:rsid w:val="08A9AA95"/>
    <w:rsid w:val="08DE7D28"/>
    <w:rsid w:val="08F15786"/>
    <w:rsid w:val="09205D01"/>
    <w:rsid w:val="092146FD"/>
    <w:rsid w:val="09260A81"/>
    <w:rsid w:val="0981A6AE"/>
    <w:rsid w:val="0A0FCEE4"/>
    <w:rsid w:val="0A1592A1"/>
    <w:rsid w:val="0A3308C1"/>
    <w:rsid w:val="0A7EAF4C"/>
    <w:rsid w:val="0A8E3904"/>
    <w:rsid w:val="0AB012F8"/>
    <w:rsid w:val="0ABC6CCC"/>
    <w:rsid w:val="0B28C17E"/>
    <w:rsid w:val="0B45F92F"/>
    <w:rsid w:val="0B48D025"/>
    <w:rsid w:val="0B9A4A71"/>
    <w:rsid w:val="0B9B7A68"/>
    <w:rsid w:val="0BABE16D"/>
    <w:rsid w:val="0BCEEC40"/>
    <w:rsid w:val="0C0ECAC8"/>
    <w:rsid w:val="0C2050A8"/>
    <w:rsid w:val="0C27A1D9"/>
    <w:rsid w:val="0C6B1D6E"/>
    <w:rsid w:val="0C7773E6"/>
    <w:rsid w:val="0C9F8A57"/>
    <w:rsid w:val="0C9FE20B"/>
    <w:rsid w:val="0CBD44D8"/>
    <w:rsid w:val="0D256569"/>
    <w:rsid w:val="0D257423"/>
    <w:rsid w:val="0D3A0863"/>
    <w:rsid w:val="0D3B5507"/>
    <w:rsid w:val="0D84739E"/>
    <w:rsid w:val="0DA386F1"/>
    <w:rsid w:val="0DC22612"/>
    <w:rsid w:val="0DD10379"/>
    <w:rsid w:val="0DD34C76"/>
    <w:rsid w:val="0E231C10"/>
    <w:rsid w:val="0E4F0ED5"/>
    <w:rsid w:val="0E99FCCB"/>
    <w:rsid w:val="0EA85851"/>
    <w:rsid w:val="0EB4A7FE"/>
    <w:rsid w:val="0EB6C7BE"/>
    <w:rsid w:val="0ED7B04C"/>
    <w:rsid w:val="0EE5E46F"/>
    <w:rsid w:val="0F079E83"/>
    <w:rsid w:val="0F596BD8"/>
    <w:rsid w:val="0F5D0103"/>
    <w:rsid w:val="0F944622"/>
    <w:rsid w:val="0FE38146"/>
    <w:rsid w:val="0FE45601"/>
    <w:rsid w:val="1000A3FC"/>
    <w:rsid w:val="10583EC3"/>
    <w:rsid w:val="105AFECE"/>
    <w:rsid w:val="106D76EC"/>
    <w:rsid w:val="1075BB34"/>
    <w:rsid w:val="10825AC8"/>
    <w:rsid w:val="1091386C"/>
    <w:rsid w:val="10B7518F"/>
    <w:rsid w:val="10F0F528"/>
    <w:rsid w:val="1107135D"/>
    <w:rsid w:val="111FB909"/>
    <w:rsid w:val="11231156"/>
    <w:rsid w:val="1131909C"/>
    <w:rsid w:val="11400D89"/>
    <w:rsid w:val="115F7268"/>
    <w:rsid w:val="116710D6"/>
    <w:rsid w:val="117B6B5A"/>
    <w:rsid w:val="11A466FF"/>
    <w:rsid w:val="11B8C4BE"/>
    <w:rsid w:val="11C9DA77"/>
    <w:rsid w:val="11CA6029"/>
    <w:rsid w:val="11E1ACA6"/>
    <w:rsid w:val="121D476E"/>
    <w:rsid w:val="121E5981"/>
    <w:rsid w:val="122ABDAF"/>
    <w:rsid w:val="12442E04"/>
    <w:rsid w:val="124461A1"/>
    <w:rsid w:val="12511CCD"/>
    <w:rsid w:val="125D41AE"/>
    <w:rsid w:val="12686D48"/>
    <w:rsid w:val="126BBD15"/>
    <w:rsid w:val="126C8D46"/>
    <w:rsid w:val="12954BD9"/>
    <w:rsid w:val="1300AB46"/>
    <w:rsid w:val="1303C140"/>
    <w:rsid w:val="134666B3"/>
    <w:rsid w:val="134839C6"/>
    <w:rsid w:val="13832A3D"/>
    <w:rsid w:val="13A79CA8"/>
    <w:rsid w:val="14388EED"/>
    <w:rsid w:val="143E5E70"/>
    <w:rsid w:val="1469AE38"/>
    <w:rsid w:val="147A1513"/>
    <w:rsid w:val="148200CB"/>
    <w:rsid w:val="14A1B035"/>
    <w:rsid w:val="14B2239F"/>
    <w:rsid w:val="14C540D5"/>
    <w:rsid w:val="14CE0B91"/>
    <w:rsid w:val="1515E700"/>
    <w:rsid w:val="153A41C9"/>
    <w:rsid w:val="1557F173"/>
    <w:rsid w:val="15E40EA4"/>
    <w:rsid w:val="15F3FD5A"/>
    <w:rsid w:val="1604A945"/>
    <w:rsid w:val="162BFD8E"/>
    <w:rsid w:val="163525B3"/>
    <w:rsid w:val="1646B3DB"/>
    <w:rsid w:val="16720F1C"/>
    <w:rsid w:val="1686F01A"/>
    <w:rsid w:val="16A2B800"/>
    <w:rsid w:val="16A3D1C6"/>
    <w:rsid w:val="16B014E8"/>
    <w:rsid w:val="16BE6A20"/>
    <w:rsid w:val="16C3580A"/>
    <w:rsid w:val="16E7CF3B"/>
    <w:rsid w:val="16EF0CDA"/>
    <w:rsid w:val="173AC788"/>
    <w:rsid w:val="1752D4D9"/>
    <w:rsid w:val="175B9435"/>
    <w:rsid w:val="1767E4E1"/>
    <w:rsid w:val="176A5765"/>
    <w:rsid w:val="176B7B14"/>
    <w:rsid w:val="177045BE"/>
    <w:rsid w:val="17807A3A"/>
    <w:rsid w:val="17BA916D"/>
    <w:rsid w:val="17EBEC06"/>
    <w:rsid w:val="180C4E6C"/>
    <w:rsid w:val="183C032D"/>
    <w:rsid w:val="187EAA54"/>
    <w:rsid w:val="1886A398"/>
    <w:rsid w:val="18B620A7"/>
    <w:rsid w:val="18E6CAF0"/>
    <w:rsid w:val="19006CBE"/>
    <w:rsid w:val="1920C223"/>
    <w:rsid w:val="192A5766"/>
    <w:rsid w:val="1985A76E"/>
    <w:rsid w:val="19902FAD"/>
    <w:rsid w:val="1999E7B9"/>
    <w:rsid w:val="19A9047B"/>
    <w:rsid w:val="19F75F76"/>
    <w:rsid w:val="1A375100"/>
    <w:rsid w:val="1A426F96"/>
    <w:rsid w:val="1A5CABD6"/>
    <w:rsid w:val="1A8216CE"/>
    <w:rsid w:val="1AB33D26"/>
    <w:rsid w:val="1AC4E33B"/>
    <w:rsid w:val="1AC6E363"/>
    <w:rsid w:val="1AC8C2BE"/>
    <w:rsid w:val="1AF8D5DC"/>
    <w:rsid w:val="1B261A83"/>
    <w:rsid w:val="1B588E38"/>
    <w:rsid w:val="1BB06AEE"/>
    <w:rsid w:val="1BDDA68F"/>
    <w:rsid w:val="1C1BB52A"/>
    <w:rsid w:val="1C56B5A7"/>
    <w:rsid w:val="1C6DBE9D"/>
    <w:rsid w:val="1C95D7D7"/>
    <w:rsid w:val="1CA46DD9"/>
    <w:rsid w:val="1CC296BD"/>
    <w:rsid w:val="1D08550B"/>
    <w:rsid w:val="1D186889"/>
    <w:rsid w:val="1D494B44"/>
    <w:rsid w:val="1D77FB15"/>
    <w:rsid w:val="1DAB4FC1"/>
    <w:rsid w:val="1DBF01A4"/>
    <w:rsid w:val="1DCD25BF"/>
    <w:rsid w:val="1DCFDEB2"/>
    <w:rsid w:val="1DEFEF5B"/>
    <w:rsid w:val="1DFC22C3"/>
    <w:rsid w:val="1E2A8B62"/>
    <w:rsid w:val="1E86C187"/>
    <w:rsid w:val="1E9F5AD6"/>
    <w:rsid w:val="1EB378B3"/>
    <w:rsid w:val="1EBBACD5"/>
    <w:rsid w:val="1EC422FD"/>
    <w:rsid w:val="1ECCF5F0"/>
    <w:rsid w:val="1EE0012B"/>
    <w:rsid w:val="1EF2F5ED"/>
    <w:rsid w:val="1F045647"/>
    <w:rsid w:val="1F6CA5C0"/>
    <w:rsid w:val="1F832D8D"/>
    <w:rsid w:val="1F84292E"/>
    <w:rsid w:val="1F934486"/>
    <w:rsid w:val="1F9E0BB9"/>
    <w:rsid w:val="1FAA5799"/>
    <w:rsid w:val="1FB371E5"/>
    <w:rsid w:val="1FD9CEF0"/>
    <w:rsid w:val="1FE7ECB6"/>
    <w:rsid w:val="1FE9E3C2"/>
    <w:rsid w:val="1FEB87B0"/>
    <w:rsid w:val="1FF7F3ED"/>
    <w:rsid w:val="206598BB"/>
    <w:rsid w:val="20744DDF"/>
    <w:rsid w:val="20D50F80"/>
    <w:rsid w:val="20F5C296"/>
    <w:rsid w:val="20FFC501"/>
    <w:rsid w:val="210A6129"/>
    <w:rsid w:val="210D057F"/>
    <w:rsid w:val="211645C6"/>
    <w:rsid w:val="212D0A7D"/>
    <w:rsid w:val="2157B7A0"/>
    <w:rsid w:val="215DBC38"/>
    <w:rsid w:val="217811C4"/>
    <w:rsid w:val="218D76CE"/>
    <w:rsid w:val="21BF5E13"/>
    <w:rsid w:val="21C53DB8"/>
    <w:rsid w:val="223D9610"/>
    <w:rsid w:val="2255B83A"/>
    <w:rsid w:val="228D4B5B"/>
    <w:rsid w:val="230CA1E4"/>
    <w:rsid w:val="23908D27"/>
    <w:rsid w:val="239E5999"/>
    <w:rsid w:val="239FD232"/>
    <w:rsid w:val="23D85A0B"/>
    <w:rsid w:val="23DA5511"/>
    <w:rsid w:val="241AA8B6"/>
    <w:rsid w:val="24258B80"/>
    <w:rsid w:val="243BEFD3"/>
    <w:rsid w:val="249CF000"/>
    <w:rsid w:val="24B67E8F"/>
    <w:rsid w:val="24BBD0FA"/>
    <w:rsid w:val="24C39CEC"/>
    <w:rsid w:val="24C68406"/>
    <w:rsid w:val="24EDD6FD"/>
    <w:rsid w:val="251A5F49"/>
    <w:rsid w:val="25272B78"/>
    <w:rsid w:val="2562E27F"/>
    <w:rsid w:val="257CB378"/>
    <w:rsid w:val="259CC437"/>
    <w:rsid w:val="25BCDB08"/>
    <w:rsid w:val="25E92744"/>
    <w:rsid w:val="25F0B66A"/>
    <w:rsid w:val="25FAA754"/>
    <w:rsid w:val="26099623"/>
    <w:rsid w:val="2653B309"/>
    <w:rsid w:val="268A6D01"/>
    <w:rsid w:val="26A71A2F"/>
    <w:rsid w:val="26B03AA8"/>
    <w:rsid w:val="26BEA02C"/>
    <w:rsid w:val="26EEF48E"/>
    <w:rsid w:val="2722F412"/>
    <w:rsid w:val="27727413"/>
    <w:rsid w:val="279E4002"/>
    <w:rsid w:val="27A33E1E"/>
    <w:rsid w:val="280CA24B"/>
    <w:rsid w:val="2849BFE6"/>
    <w:rsid w:val="28941522"/>
    <w:rsid w:val="28D853BF"/>
    <w:rsid w:val="28F9E553"/>
    <w:rsid w:val="28FA02C0"/>
    <w:rsid w:val="28FE7892"/>
    <w:rsid w:val="290D83A8"/>
    <w:rsid w:val="290FA9C1"/>
    <w:rsid w:val="29198882"/>
    <w:rsid w:val="291D77E9"/>
    <w:rsid w:val="295D7022"/>
    <w:rsid w:val="296373F5"/>
    <w:rsid w:val="2976754B"/>
    <w:rsid w:val="297FEB45"/>
    <w:rsid w:val="298D48FB"/>
    <w:rsid w:val="29C54441"/>
    <w:rsid w:val="29C7B988"/>
    <w:rsid w:val="2A0E6FF2"/>
    <w:rsid w:val="2A3CC940"/>
    <w:rsid w:val="2A47BA84"/>
    <w:rsid w:val="2A4942AD"/>
    <w:rsid w:val="2A5ED2EE"/>
    <w:rsid w:val="2A6B72F1"/>
    <w:rsid w:val="2A6D1EF4"/>
    <w:rsid w:val="2A75A4EE"/>
    <w:rsid w:val="2A7924FE"/>
    <w:rsid w:val="2A7C1E39"/>
    <w:rsid w:val="2AAF48BC"/>
    <w:rsid w:val="2AC7D10C"/>
    <w:rsid w:val="2AEB3CEC"/>
    <w:rsid w:val="2AF81381"/>
    <w:rsid w:val="2B0E6707"/>
    <w:rsid w:val="2B217797"/>
    <w:rsid w:val="2B296506"/>
    <w:rsid w:val="2B4DB319"/>
    <w:rsid w:val="2B694137"/>
    <w:rsid w:val="2B724EAB"/>
    <w:rsid w:val="2B9A101F"/>
    <w:rsid w:val="2B9CAA85"/>
    <w:rsid w:val="2BB6367A"/>
    <w:rsid w:val="2BF8FD39"/>
    <w:rsid w:val="2C3015A5"/>
    <w:rsid w:val="2C5D12C6"/>
    <w:rsid w:val="2C91BCA8"/>
    <w:rsid w:val="2CC80080"/>
    <w:rsid w:val="2CFE71C0"/>
    <w:rsid w:val="2D194777"/>
    <w:rsid w:val="2D1D9034"/>
    <w:rsid w:val="2D2CB097"/>
    <w:rsid w:val="2D36B622"/>
    <w:rsid w:val="2D686AE6"/>
    <w:rsid w:val="2D6C71CE"/>
    <w:rsid w:val="2DC7391D"/>
    <w:rsid w:val="2DCB65EF"/>
    <w:rsid w:val="2DD49C43"/>
    <w:rsid w:val="2DD565FD"/>
    <w:rsid w:val="2DE533A9"/>
    <w:rsid w:val="2DEBB4F5"/>
    <w:rsid w:val="2E0D8E62"/>
    <w:rsid w:val="2E69FE6A"/>
    <w:rsid w:val="2E78A103"/>
    <w:rsid w:val="2E974736"/>
    <w:rsid w:val="2EAB97A4"/>
    <w:rsid w:val="2ECE8C45"/>
    <w:rsid w:val="2F367A93"/>
    <w:rsid w:val="2F64333A"/>
    <w:rsid w:val="2F7A51BE"/>
    <w:rsid w:val="2F7D7BF2"/>
    <w:rsid w:val="2F988FEF"/>
    <w:rsid w:val="2F9C46F8"/>
    <w:rsid w:val="2FE58B8B"/>
    <w:rsid w:val="30007A00"/>
    <w:rsid w:val="3006641D"/>
    <w:rsid w:val="301AAEF4"/>
    <w:rsid w:val="302ECE05"/>
    <w:rsid w:val="303FAC82"/>
    <w:rsid w:val="307CAFBC"/>
    <w:rsid w:val="30873C29"/>
    <w:rsid w:val="308F2C77"/>
    <w:rsid w:val="30959B02"/>
    <w:rsid w:val="3097F6EA"/>
    <w:rsid w:val="30D3E935"/>
    <w:rsid w:val="30E91A3F"/>
    <w:rsid w:val="30EF199B"/>
    <w:rsid w:val="30FA4F7B"/>
    <w:rsid w:val="310127EC"/>
    <w:rsid w:val="311F2F4E"/>
    <w:rsid w:val="3132AEFD"/>
    <w:rsid w:val="31444C1F"/>
    <w:rsid w:val="314E9236"/>
    <w:rsid w:val="3157581D"/>
    <w:rsid w:val="315E1F77"/>
    <w:rsid w:val="3162A618"/>
    <w:rsid w:val="31637FEB"/>
    <w:rsid w:val="316BCDCA"/>
    <w:rsid w:val="3187EBB1"/>
    <w:rsid w:val="31A6C922"/>
    <w:rsid w:val="31CD9892"/>
    <w:rsid w:val="31D4A79C"/>
    <w:rsid w:val="31E11C8B"/>
    <w:rsid w:val="31E2E9FC"/>
    <w:rsid w:val="3226AE4A"/>
    <w:rsid w:val="3232BCEC"/>
    <w:rsid w:val="328D2995"/>
    <w:rsid w:val="329F74CB"/>
    <w:rsid w:val="32FBB114"/>
    <w:rsid w:val="330853B6"/>
    <w:rsid w:val="330A06B4"/>
    <w:rsid w:val="331187D2"/>
    <w:rsid w:val="33189D22"/>
    <w:rsid w:val="3326FF2E"/>
    <w:rsid w:val="3345C680"/>
    <w:rsid w:val="334A1144"/>
    <w:rsid w:val="3357CF2B"/>
    <w:rsid w:val="336767EF"/>
    <w:rsid w:val="33747AB5"/>
    <w:rsid w:val="3398AEA9"/>
    <w:rsid w:val="33BEF16F"/>
    <w:rsid w:val="33DCBA80"/>
    <w:rsid w:val="33DD62A3"/>
    <w:rsid w:val="33EC8368"/>
    <w:rsid w:val="34093F84"/>
    <w:rsid w:val="3411B10B"/>
    <w:rsid w:val="341E5798"/>
    <w:rsid w:val="342ADF1F"/>
    <w:rsid w:val="342D4296"/>
    <w:rsid w:val="345AFFA3"/>
    <w:rsid w:val="34A3FBEB"/>
    <w:rsid w:val="34A79718"/>
    <w:rsid w:val="34E4BCC8"/>
    <w:rsid w:val="34F24348"/>
    <w:rsid w:val="3532FFF6"/>
    <w:rsid w:val="353CC1B9"/>
    <w:rsid w:val="356D1115"/>
    <w:rsid w:val="3571B6B1"/>
    <w:rsid w:val="359B9A0C"/>
    <w:rsid w:val="35EAD14C"/>
    <w:rsid w:val="35FC6458"/>
    <w:rsid w:val="36169137"/>
    <w:rsid w:val="3675AE71"/>
    <w:rsid w:val="367F89C8"/>
    <w:rsid w:val="368FF65E"/>
    <w:rsid w:val="36B54C61"/>
    <w:rsid w:val="36BC2D62"/>
    <w:rsid w:val="36CE4A07"/>
    <w:rsid w:val="37B9A417"/>
    <w:rsid w:val="37D2E483"/>
    <w:rsid w:val="37F7E56E"/>
    <w:rsid w:val="37FC5B2A"/>
    <w:rsid w:val="38469E9C"/>
    <w:rsid w:val="38503CAF"/>
    <w:rsid w:val="385198BA"/>
    <w:rsid w:val="38862FEA"/>
    <w:rsid w:val="38971C10"/>
    <w:rsid w:val="38D6D08B"/>
    <w:rsid w:val="38DA1E89"/>
    <w:rsid w:val="39191079"/>
    <w:rsid w:val="396D6DE4"/>
    <w:rsid w:val="39C745C1"/>
    <w:rsid w:val="39EA27B9"/>
    <w:rsid w:val="39EF3D2A"/>
    <w:rsid w:val="39FDBBED"/>
    <w:rsid w:val="3A2584FF"/>
    <w:rsid w:val="3A2E0A9A"/>
    <w:rsid w:val="3A624B7E"/>
    <w:rsid w:val="3AB7EF15"/>
    <w:rsid w:val="3AE36D42"/>
    <w:rsid w:val="3AF39E77"/>
    <w:rsid w:val="3B18F2C5"/>
    <w:rsid w:val="3B1A3F82"/>
    <w:rsid w:val="3B574FCE"/>
    <w:rsid w:val="3B7E288E"/>
    <w:rsid w:val="3C04892F"/>
    <w:rsid w:val="3C6F1757"/>
    <w:rsid w:val="3C7EDEF4"/>
    <w:rsid w:val="3CDF6C4B"/>
    <w:rsid w:val="3CED69FE"/>
    <w:rsid w:val="3D000A00"/>
    <w:rsid w:val="3D009B2A"/>
    <w:rsid w:val="3D5E755D"/>
    <w:rsid w:val="3D7D977C"/>
    <w:rsid w:val="3DC03C0E"/>
    <w:rsid w:val="3DFE84E1"/>
    <w:rsid w:val="3E06AFEF"/>
    <w:rsid w:val="3E540E6A"/>
    <w:rsid w:val="3E636E80"/>
    <w:rsid w:val="3E813A84"/>
    <w:rsid w:val="3E8C0171"/>
    <w:rsid w:val="3EC173CE"/>
    <w:rsid w:val="3EDB4EE9"/>
    <w:rsid w:val="3EDF0089"/>
    <w:rsid w:val="3EE9B370"/>
    <w:rsid w:val="3F1A1C36"/>
    <w:rsid w:val="3F28994D"/>
    <w:rsid w:val="3F2EBD39"/>
    <w:rsid w:val="3F3D33EF"/>
    <w:rsid w:val="3F43E456"/>
    <w:rsid w:val="3F4D3E95"/>
    <w:rsid w:val="3F5871B0"/>
    <w:rsid w:val="3F6187BA"/>
    <w:rsid w:val="3F898D18"/>
    <w:rsid w:val="3FC5956E"/>
    <w:rsid w:val="3FD961CD"/>
    <w:rsid w:val="3FE0FF52"/>
    <w:rsid w:val="4016DFDE"/>
    <w:rsid w:val="401BDA89"/>
    <w:rsid w:val="40641ADB"/>
    <w:rsid w:val="407375CB"/>
    <w:rsid w:val="408EF78C"/>
    <w:rsid w:val="40B20A36"/>
    <w:rsid w:val="40C0738D"/>
    <w:rsid w:val="40E592BC"/>
    <w:rsid w:val="4167F9E7"/>
    <w:rsid w:val="41780361"/>
    <w:rsid w:val="41980C4F"/>
    <w:rsid w:val="419A3F71"/>
    <w:rsid w:val="41A294CB"/>
    <w:rsid w:val="41E6513D"/>
    <w:rsid w:val="41EC2AD9"/>
    <w:rsid w:val="420064AA"/>
    <w:rsid w:val="42261AC8"/>
    <w:rsid w:val="424FD5B6"/>
    <w:rsid w:val="4255AA11"/>
    <w:rsid w:val="427CF5FA"/>
    <w:rsid w:val="42C07806"/>
    <w:rsid w:val="42CBD108"/>
    <w:rsid w:val="42EF030C"/>
    <w:rsid w:val="42F29262"/>
    <w:rsid w:val="42F95E89"/>
    <w:rsid w:val="431ADDA0"/>
    <w:rsid w:val="4342774C"/>
    <w:rsid w:val="43845DBE"/>
    <w:rsid w:val="4398534F"/>
    <w:rsid w:val="439C84A3"/>
    <w:rsid w:val="43CB22E3"/>
    <w:rsid w:val="43CF88BF"/>
    <w:rsid w:val="43D736AF"/>
    <w:rsid w:val="43E10337"/>
    <w:rsid w:val="43E1B383"/>
    <w:rsid w:val="43FAC2F4"/>
    <w:rsid w:val="442BF7CC"/>
    <w:rsid w:val="44329330"/>
    <w:rsid w:val="443FB6DC"/>
    <w:rsid w:val="445EBC7B"/>
    <w:rsid w:val="449246E2"/>
    <w:rsid w:val="4492C4AA"/>
    <w:rsid w:val="44C32192"/>
    <w:rsid w:val="44C3C935"/>
    <w:rsid w:val="44CCA10B"/>
    <w:rsid w:val="44DD6D22"/>
    <w:rsid w:val="44DE554F"/>
    <w:rsid w:val="452E4F03"/>
    <w:rsid w:val="453829C8"/>
    <w:rsid w:val="453E44C8"/>
    <w:rsid w:val="455053AB"/>
    <w:rsid w:val="456673DA"/>
    <w:rsid w:val="457480B0"/>
    <w:rsid w:val="45901C83"/>
    <w:rsid w:val="45A680E9"/>
    <w:rsid w:val="45F3C053"/>
    <w:rsid w:val="460A01AE"/>
    <w:rsid w:val="460EF3E3"/>
    <w:rsid w:val="462B3AAB"/>
    <w:rsid w:val="465EC790"/>
    <w:rsid w:val="46AE3D9F"/>
    <w:rsid w:val="46E50B36"/>
    <w:rsid w:val="47181CF5"/>
    <w:rsid w:val="472AA10B"/>
    <w:rsid w:val="473527B1"/>
    <w:rsid w:val="475CCAE7"/>
    <w:rsid w:val="47634754"/>
    <w:rsid w:val="47688699"/>
    <w:rsid w:val="4768AD2C"/>
    <w:rsid w:val="47BF5EDC"/>
    <w:rsid w:val="47C12203"/>
    <w:rsid w:val="47C61E0B"/>
    <w:rsid w:val="4861B0AF"/>
    <w:rsid w:val="4870D549"/>
    <w:rsid w:val="48712E36"/>
    <w:rsid w:val="48737FF4"/>
    <w:rsid w:val="4877FFEE"/>
    <w:rsid w:val="48F31915"/>
    <w:rsid w:val="48FC2933"/>
    <w:rsid w:val="49555AB3"/>
    <w:rsid w:val="4960B757"/>
    <w:rsid w:val="4964303D"/>
    <w:rsid w:val="4991EBF9"/>
    <w:rsid w:val="49A77779"/>
    <w:rsid w:val="49CF77FC"/>
    <w:rsid w:val="49DB70AF"/>
    <w:rsid w:val="49FC1B48"/>
    <w:rsid w:val="4A10141C"/>
    <w:rsid w:val="4A1639AA"/>
    <w:rsid w:val="4A22A161"/>
    <w:rsid w:val="4A3B06A8"/>
    <w:rsid w:val="4A403084"/>
    <w:rsid w:val="4A40D0A5"/>
    <w:rsid w:val="4A781E91"/>
    <w:rsid w:val="4A88F1D5"/>
    <w:rsid w:val="4A942E05"/>
    <w:rsid w:val="4AA497E9"/>
    <w:rsid w:val="4AA68C9D"/>
    <w:rsid w:val="4AD115BF"/>
    <w:rsid w:val="4AD96D47"/>
    <w:rsid w:val="4B4E88A6"/>
    <w:rsid w:val="4B5959E7"/>
    <w:rsid w:val="4B97DD8A"/>
    <w:rsid w:val="4BBD7558"/>
    <w:rsid w:val="4C082600"/>
    <w:rsid w:val="4C0C85BB"/>
    <w:rsid w:val="4C247AC8"/>
    <w:rsid w:val="4C4A0226"/>
    <w:rsid w:val="4C8C5787"/>
    <w:rsid w:val="4C9CACFC"/>
    <w:rsid w:val="4CB489D4"/>
    <w:rsid w:val="4CC0C74E"/>
    <w:rsid w:val="4CE41D81"/>
    <w:rsid w:val="4D208B24"/>
    <w:rsid w:val="4D8E34CA"/>
    <w:rsid w:val="4D8F16F5"/>
    <w:rsid w:val="4DF9BC54"/>
    <w:rsid w:val="4E01B187"/>
    <w:rsid w:val="4E40023C"/>
    <w:rsid w:val="4E554069"/>
    <w:rsid w:val="4E58EF1A"/>
    <w:rsid w:val="4E7C4486"/>
    <w:rsid w:val="4E7D0F04"/>
    <w:rsid w:val="4E85DE3C"/>
    <w:rsid w:val="4ED13856"/>
    <w:rsid w:val="4F62E129"/>
    <w:rsid w:val="4F7B1432"/>
    <w:rsid w:val="4F841D21"/>
    <w:rsid w:val="4F92E3AF"/>
    <w:rsid w:val="4FBA8BA1"/>
    <w:rsid w:val="4FC222D8"/>
    <w:rsid w:val="4FE489FE"/>
    <w:rsid w:val="4FF4AFAB"/>
    <w:rsid w:val="5056B827"/>
    <w:rsid w:val="50590883"/>
    <w:rsid w:val="506982FA"/>
    <w:rsid w:val="50720E2F"/>
    <w:rsid w:val="507EE888"/>
    <w:rsid w:val="5081549D"/>
    <w:rsid w:val="50B47272"/>
    <w:rsid w:val="50C31330"/>
    <w:rsid w:val="51092F06"/>
    <w:rsid w:val="5137D47C"/>
    <w:rsid w:val="5140036F"/>
    <w:rsid w:val="5158D857"/>
    <w:rsid w:val="5165F385"/>
    <w:rsid w:val="51A64C17"/>
    <w:rsid w:val="51D99F5E"/>
    <w:rsid w:val="51E619F0"/>
    <w:rsid w:val="51F5EFAD"/>
    <w:rsid w:val="522CF221"/>
    <w:rsid w:val="5244288F"/>
    <w:rsid w:val="528A7C1E"/>
    <w:rsid w:val="52AC82B8"/>
    <w:rsid w:val="52BDD1AC"/>
    <w:rsid w:val="52DCB373"/>
    <w:rsid w:val="52DF0C6E"/>
    <w:rsid w:val="52F854FC"/>
    <w:rsid w:val="530F1B22"/>
    <w:rsid w:val="532AF5A8"/>
    <w:rsid w:val="532D0DA3"/>
    <w:rsid w:val="5344D4D1"/>
    <w:rsid w:val="53796F59"/>
    <w:rsid w:val="53C485DB"/>
    <w:rsid w:val="53D48793"/>
    <w:rsid w:val="53E1A8DE"/>
    <w:rsid w:val="53FA0C7E"/>
    <w:rsid w:val="5405814D"/>
    <w:rsid w:val="542D74AA"/>
    <w:rsid w:val="54583722"/>
    <w:rsid w:val="548C3761"/>
    <w:rsid w:val="54979667"/>
    <w:rsid w:val="549932E8"/>
    <w:rsid w:val="54B4EEA4"/>
    <w:rsid w:val="54B828B7"/>
    <w:rsid w:val="54EB254A"/>
    <w:rsid w:val="550B6587"/>
    <w:rsid w:val="551FE61F"/>
    <w:rsid w:val="55349814"/>
    <w:rsid w:val="5536117C"/>
    <w:rsid w:val="553689A5"/>
    <w:rsid w:val="554D2EBE"/>
    <w:rsid w:val="55561A10"/>
    <w:rsid w:val="55B0F50A"/>
    <w:rsid w:val="55C2D3AC"/>
    <w:rsid w:val="55C67A20"/>
    <w:rsid w:val="56173318"/>
    <w:rsid w:val="562B61C7"/>
    <w:rsid w:val="564CEBB8"/>
    <w:rsid w:val="56589593"/>
    <w:rsid w:val="56704C0C"/>
    <w:rsid w:val="568A42C4"/>
    <w:rsid w:val="56E3561A"/>
    <w:rsid w:val="56E5EA93"/>
    <w:rsid w:val="56EFD359"/>
    <w:rsid w:val="572C3295"/>
    <w:rsid w:val="577A507E"/>
    <w:rsid w:val="5785E41E"/>
    <w:rsid w:val="57E2467A"/>
    <w:rsid w:val="582CC403"/>
    <w:rsid w:val="584BFC83"/>
    <w:rsid w:val="58615BEF"/>
    <w:rsid w:val="586FBE4C"/>
    <w:rsid w:val="589C101B"/>
    <w:rsid w:val="58A388B5"/>
    <w:rsid w:val="58A4C6A7"/>
    <w:rsid w:val="58BFD37F"/>
    <w:rsid w:val="58DF7C34"/>
    <w:rsid w:val="590D5917"/>
    <w:rsid w:val="591CBEAF"/>
    <w:rsid w:val="591FCE6E"/>
    <w:rsid w:val="59261843"/>
    <w:rsid w:val="592C39C8"/>
    <w:rsid w:val="595640E0"/>
    <w:rsid w:val="595D5205"/>
    <w:rsid w:val="5969D0A2"/>
    <w:rsid w:val="5994466E"/>
    <w:rsid w:val="59BDA6F8"/>
    <w:rsid w:val="59C88A94"/>
    <w:rsid w:val="5A00A9B0"/>
    <w:rsid w:val="5A04F90E"/>
    <w:rsid w:val="5A147C7A"/>
    <w:rsid w:val="5A309D4C"/>
    <w:rsid w:val="5A38BE4D"/>
    <w:rsid w:val="5A503BCB"/>
    <w:rsid w:val="5A5336DA"/>
    <w:rsid w:val="5A6C873C"/>
    <w:rsid w:val="5A83BEED"/>
    <w:rsid w:val="5A8F660A"/>
    <w:rsid w:val="5A901D25"/>
    <w:rsid w:val="5AA36CD0"/>
    <w:rsid w:val="5AE00859"/>
    <w:rsid w:val="5B34FD94"/>
    <w:rsid w:val="5BAB8600"/>
    <w:rsid w:val="5BB3FC36"/>
    <w:rsid w:val="5BC0977D"/>
    <w:rsid w:val="5BDFA1B7"/>
    <w:rsid w:val="5BF1DABC"/>
    <w:rsid w:val="5BF54D1F"/>
    <w:rsid w:val="5C3FC2B2"/>
    <w:rsid w:val="5C403020"/>
    <w:rsid w:val="5C41F81D"/>
    <w:rsid w:val="5C464654"/>
    <w:rsid w:val="5C46A709"/>
    <w:rsid w:val="5C66C23A"/>
    <w:rsid w:val="5CF8ACF7"/>
    <w:rsid w:val="5D0ABCF7"/>
    <w:rsid w:val="5D278D21"/>
    <w:rsid w:val="5D2CC895"/>
    <w:rsid w:val="5D576E5E"/>
    <w:rsid w:val="5D606327"/>
    <w:rsid w:val="5D903C08"/>
    <w:rsid w:val="5DDF979B"/>
    <w:rsid w:val="5DEBA4E6"/>
    <w:rsid w:val="5E03FB48"/>
    <w:rsid w:val="5E119950"/>
    <w:rsid w:val="5E2487E7"/>
    <w:rsid w:val="5E5468BF"/>
    <w:rsid w:val="5E82A9C5"/>
    <w:rsid w:val="5E85F4A5"/>
    <w:rsid w:val="5E944FEA"/>
    <w:rsid w:val="5EC7500D"/>
    <w:rsid w:val="5ECE84C8"/>
    <w:rsid w:val="5ED433DD"/>
    <w:rsid w:val="5F24EA06"/>
    <w:rsid w:val="5F8866C0"/>
    <w:rsid w:val="5F88C31F"/>
    <w:rsid w:val="5FA27293"/>
    <w:rsid w:val="5FC62FE1"/>
    <w:rsid w:val="5FDD57A5"/>
    <w:rsid w:val="5FE52864"/>
    <w:rsid w:val="5FEF6950"/>
    <w:rsid w:val="600A54EE"/>
    <w:rsid w:val="600C8F2E"/>
    <w:rsid w:val="602A1839"/>
    <w:rsid w:val="602F7467"/>
    <w:rsid w:val="6033A15E"/>
    <w:rsid w:val="6070849A"/>
    <w:rsid w:val="607A1472"/>
    <w:rsid w:val="60B27073"/>
    <w:rsid w:val="60EC81AD"/>
    <w:rsid w:val="6112ABBB"/>
    <w:rsid w:val="611A6EFA"/>
    <w:rsid w:val="613A55BB"/>
    <w:rsid w:val="6152A77C"/>
    <w:rsid w:val="6168275E"/>
    <w:rsid w:val="61DE98C3"/>
    <w:rsid w:val="61E15B2B"/>
    <w:rsid w:val="621D761E"/>
    <w:rsid w:val="62263C80"/>
    <w:rsid w:val="622EF0DD"/>
    <w:rsid w:val="62724A2D"/>
    <w:rsid w:val="6279490F"/>
    <w:rsid w:val="628529B5"/>
    <w:rsid w:val="62A7EE5A"/>
    <w:rsid w:val="62C72C83"/>
    <w:rsid w:val="62CDD5E9"/>
    <w:rsid w:val="62E65CB2"/>
    <w:rsid w:val="631655E9"/>
    <w:rsid w:val="63252066"/>
    <w:rsid w:val="632538FC"/>
    <w:rsid w:val="636A6EE9"/>
    <w:rsid w:val="639258AD"/>
    <w:rsid w:val="6393701B"/>
    <w:rsid w:val="63CCE247"/>
    <w:rsid w:val="63CDC272"/>
    <w:rsid w:val="63D7ABA2"/>
    <w:rsid w:val="63E10409"/>
    <w:rsid w:val="64454C64"/>
    <w:rsid w:val="6456C559"/>
    <w:rsid w:val="6460B9CB"/>
    <w:rsid w:val="647E83DB"/>
    <w:rsid w:val="649C3E76"/>
    <w:rsid w:val="64B05C20"/>
    <w:rsid w:val="64B9D45F"/>
    <w:rsid w:val="64D28A8D"/>
    <w:rsid w:val="64DA14D5"/>
    <w:rsid w:val="64F1D575"/>
    <w:rsid w:val="65284B8F"/>
    <w:rsid w:val="6537F4A1"/>
    <w:rsid w:val="654387F1"/>
    <w:rsid w:val="656E00AD"/>
    <w:rsid w:val="6587C53F"/>
    <w:rsid w:val="65A2658D"/>
    <w:rsid w:val="65AA1A4D"/>
    <w:rsid w:val="65DC6489"/>
    <w:rsid w:val="65EE97EC"/>
    <w:rsid w:val="660AB2C3"/>
    <w:rsid w:val="66171F85"/>
    <w:rsid w:val="6624A391"/>
    <w:rsid w:val="66591795"/>
    <w:rsid w:val="668D3170"/>
    <w:rsid w:val="6694C362"/>
    <w:rsid w:val="66970F6F"/>
    <w:rsid w:val="66973872"/>
    <w:rsid w:val="66BA4281"/>
    <w:rsid w:val="670032C7"/>
    <w:rsid w:val="671777CE"/>
    <w:rsid w:val="672367C1"/>
    <w:rsid w:val="6733F4E5"/>
    <w:rsid w:val="676424FB"/>
    <w:rsid w:val="6796C677"/>
    <w:rsid w:val="679996E1"/>
    <w:rsid w:val="679CFE2F"/>
    <w:rsid w:val="67ACB476"/>
    <w:rsid w:val="6820B71C"/>
    <w:rsid w:val="683EFD72"/>
    <w:rsid w:val="685D42A2"/>
    <w:rsid w:val="6874F760"/>
    <w:rsid w:val="6883FAAC"/>
    <w:rsid w:val="6890C44C"/>
    <w:rsid w:val="68B4E1E0"/>
    <w:rsid w:val="68B92D6D"/>
    <w:rsid w:val="68D01F56"/>
    <w:rsid w:val="68D2C882"/>
    <w:rsid w:val="698AEE5E"/>
    <w:rsid w:val="698ECDD8"/>
    <w:rsid w:val="69B94063"/>
    <w:rsid w:val="69BB8E29"/>
    <w:rsid w:val="69E59187"/>
    <w:rsid w:val="6A34A81F"/>
    <w:rsid w:val="6AB4CEC3"/>
    <w:rsid w:val="6ADF809D"/>
    <w:rsid w:val="6AF2C4E5"/>
    <w:rsid w:val="6B3E9DFC"/>
    <w:rsid w:val="6BA02095"/>
    <w:rsid w:val="6BAD8B6D"/>
    <w:rsid w:val="6BB4DB08"/>
    <w:rsid w:val="6BBC5F74"/>
    <w:rsid w:val="6C288482"/>
    <w:rsid w:val="6C3037DA"/>
    <w:rsid w:val="6C50B70C"/>
    <w:rsid w:val="6C56E21F"/>
    <w:rsid w:val="6C5872FF"/>
    <w:rsid w:val="6C5DA3A1"/>
    <w:rsid w:val="6C65E96A"/>
    <w:rsid w:val="6C6D4BE2"/>
    <w:rsid w:val="6CA63D46"/>
    <w:rsid w:val="6CB81B0B"/>
    <w:rsid w:val="6D18FE51"/>
    <w:rsid w:val="6D21CC8E"/>
    <w:rsid w:val="6D582F05"/>
    <w:rsid w:val="6D6F95A4"/>
    <w:rsid w:val="6DF04D0C"/>
    <w:rsid w:val="6DF3923A"/>
    <w:rsid w:val="6E02C5D3"/>
    <w:rsid w:val="6E1884A0"/>
    <w:rsid w:val="6E31B436"/>
    <w:rsid w:val="6E47AB21"/>
    <w:rsid w:val="6E54A2EB"/>
    <w:rsid w:val="6E5A0528"/>
    <w:rsid w:val="6E7C6AFA"/>
    <w:rsid w:val="6EED6600"/>
    <w:rsid w:val="6EEE2F22"/>
    <w:rsid w:val="6F0F2039"/>
    <w:rsid w:val="6F14FF3E"/>
    <w:rsid w:val="6F415DFD"/>
    <w:rsid w:val="6F7C53E5"/>
    <w:rsid w:val="6F8E912E"/>
    <w:rsid w:val="6FA649DE"/>
    <w:rsid w:val="6FAE172D"/>
    <w:rsid w:val="6FB5626F"/>
    <w:rsid w:val="6FBA0469"/>
    <w:rsid w:val="709955D1"/>
    <w:rsid w:val="70B7501B"/>
    <w:rsid w:val="70C856F5"/>
    <w:rsid w:val="70E13EE6"/>
    <w:rsid w:val="71290649"/>
    <w:rsid w:val="7135B248"/>
    <w:rsid w:val="71A3976E"/>
    <w:rsid w:val="7220427B"/>
    <w:rsid w:val="7238291B"/>
    <w:rsid w:val="724DAD95"/>
    <w:rsid w:val="7258AE7F"/>
    <w:rsid w:val="72658BAD"/>
    <w:rsid w:val="7273C39D"/>
    <w:rsid w:val="72A6D1DD"/>
    <w:rsid w:val="72B00C2E"/>
    <w:rsid w:val="72B460E4"/>
    <w:rsid w:val="72B47619"/>
    <w:rsid w:val="72CAA40A"/>
    <w:rsid w:val="72DF620D"/>
    <w:rsid w:val="7367D442"/>
    <w:rsid w:val="73911C48"/>
    <w:rsid w:val="73C366E7"/>
    <w:rsid w:val="73D339B9"/>
    <w:rsid w:val="73D4BCF5"/>
    <w:rsid w:val="73DED74B"/>
    <w:rsid w:val="73ECA74C"/>
    <w:rsid w:val="7456C026"/>
    <w:rsid w:val="7471CA78"/>
    <w:rsid w:val="747A59A9"/>
    <w:rsid w:val="748D4F74"/>
    <w:rsid w:val="75193D84"/>
    <w:rsid w:val="751EA379"/>
    <w:rsid w:val="752E1047"/>
    <w:rsid w:val="753095FE"/>
    <w:rsid w:val="753D3133"/>
    <w:rsid w:val="75510518"/>
    <w:rsid w:val="7562F1ED"/>
    <w:rsid w:val="757D38FC"/>
    <w:rsid w:val="75A136A0"/>
    <w:rsid w:val="75A9414D"/>
    <w:rsid w:val="75E02109"/>
    <w:rsid w:val="75E5B71B"/>
    <w:rsid w:val="75ED2988"/>
    <w:rsid w:val="75F7E30D"/>
    <w:rsid w:val="76595508"/>
    <w:rsid w:val="7696EC09"/>
    <w:rsid w:val="76A71873"/>
    <w:rsid w:val="76AC98F6"/>
    <w:rsid w:val="76B5E218"/>
    <w:rsid w:val="76EE53B0"/>
    <w:rsid w:val="770A28DE"/>
    <w:rsid w:val="773E7FCF"/>
    <w:rsid w:val="775082D0"/>
    <w:rsid w:val="776D1C27"/>
    <w:rsid w:val="779D027F"/>
    <w:rsid w:val="77ADC2B1"/>
    <w:rsid w:val="77BDE3BB"/>
    <w:rsid w:val="77BE2344"/>
    <w:rsid w:val="77CC841D"/>
    <w:rsid w:val="77E0AD7D"/>
    <w:rsid w:val="780D11A3"/>
    <w:rsid w:val="7835E9B4"/>
    <w:rsid w:val="787B9004"/>
    <w:rsid w:val="78B1202F"/>
    <w:rsid w:val="78B601ED"/>
    <w:rsid w:val="79422B1D"/>
    <w:rsid w:val="7A566104"/>
    <w:rsid w:val="7A750274"/>
    <w:rsid w:val="7AAC09B9"/>
    <w:rsid w:val="7AAF0FA7"/>
    <w:rsid w:val="7AB8993F"/>
    <w:rsid w:val="7AC176C7"/>
    <w:rsid w:val="7AC1CFA5"/>
    <w:rsid w:val="7AD2792B"/>
    <w:rsid w:val="7ADB94A7"/>
    <w:rsid w:val="7B391DEE"/>
    <w:rsid w:val="7B562EE3"/>
    <w:rsid w:val="7B5E29B2"/>
    <w:rsid w:val="7B6BCCC7"/>
    <w:rsid w:val="7B6F9C2D"/>
    <w:rsid w:val="7B92D9FB"/>
    <w:rsid w:val="7BAD06E7"/>
    <w:rsid w:val="7BC49B0F"/>
    <w:rsid w:val="7BD309F0"/>
    <w:rsid w:val="7BE4725E"/>
    <w:rsid w:val="7BF3239E"/>
    <w:rsid w:val="7C3B049E"/>
    <w:rsid w:val="7C74DC19"/>
    <w:rsid w:val="7C78727C"/>
    <w:rsid w:val="7C7B84A4"/>
    <w:rsid w:val="7C7C7592"/>
    <w:rsid w:val="7C8DE175"/>
    <w:rsid w:val="7C903BD4"/>
    <w:rsid w:val="7C91E947"/>
    <w:rsid w:val="7CC666D7"/>
    <w:rsid w:val="7CCF371B"/>
    <w:rsid w:val="7CFF487A"/>
    <w:rsid w:val="7D02974C"/>
    <w:rsid w:val="7D300921"/>
    <w:rsid w:val="7D58F43B"/>
    <w:rsid w:val="7D707714"/>
    <w:rsid w:val="7D78C7DC"/>
    <w:rsid w:val="7D7BD46C"/>
    <w:rsid w:val="7D83B77C"/>
    <w:rsid w:val="7D8B5F0C"/>
    <w:rsid w:val="7DC2D39D"/>
    <w:rsid w:val="7DC7BCD4"/>
    <w:rsid w:val="7DC7CA15"/>
    <w:rsid w:val="7DCE493B"/>
    <w:rsid w:val="7DD00C8A"/>
    <w:rsid w:val="7DDD58D5"/>
    <w:rsid w:val="7DE013E6"/>
    <w:rsid w:val="7E4E8F47"/>
    <w:rsid w:val="7E4EBD1A"/>
    <w:rsid w:val="7E5D5DE1"/>
    <w:rsid w:val="7E6981A7"/>
    <w:rsid w:val="7E704EDE"/>
    <w:rsid w:val="7E807569"/>
    <w:rsid w:val="7E96F2C9"/>
    <w:rsid w:val="7EAB8A56"/>
    <w:rsid w:val="7EBF98A5"/>
    <w:rsid w:val="7EE16AB1"/>
    <w:rsid w:val="7EF66DB5"/>
    <w:rsid w:val="7F08A9AA"/>
    <w:rsid w:val="7F09553C"/>
    <w:rsid w:val="7F1F571C"/>
    <w:rsid w:val="7F597599"/>
    <w:rsid w:val="7F855F70"/>
    <w:rsid w:val="7F976E69"/>
    <w:rsid w:val="7F9A2E74"/>
    <w:rsid w:val="7FABB8BF"/>
    <w:rsid w:val="7FCDD096"/>
    <w:rsid w:val="7FD90044"/>
    <w:rsid w:val="7FE39D73"/>
    <w:rsid w:val="7FF097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6206"/>
  <w15:chartTrackingRefBased/>
  <w15:docId w15:val="{B1A3551D-65DB-4BFF-99DE-8B55B3F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5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5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55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55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55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55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55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55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55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55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55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55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55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55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55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55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55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556B"/>
    <w:rPr>
      <w:rFonts w:eastAsiaTheme="majorEastAsia" w:cstheme="majorBidi"/>
      <w:color w:val="272727" w:themeColor="text1" w:themeTint="D8"/>
    </w:rPr>
  </w:style>
  <w:style w:type="paragraph" w:styleId="Titre">
    <w:name w:val="Title"/>
    <w:basedOn w:val="Normal"/>
    <w:next w:val="Normal"/>
    <w:link w:val="TitreCar"/>
    <w:uiPriority w:val="10"/>
    <w:qFormat/>
    <w:rsid w:val="00595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55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55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55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556B"/>
    <w:pPr>
      <w:spacing w:before="160"/>
      <w:jc w:val="center"/>
    </w:pPr>
    <w:rPr>
      <w:i/>
      <w:iCs/>
      <w:color w:val="404040" w:themeColor="text1" w:themeTint="BF"/>
    </w:rPr>
  </w:style>
  <w:style w:type="character" w:customStyle="1" w:styleId="CitationCar">
    <w:name w:val="Citation Car"/>
    <w:basedOn w:val="Policepardfaut"/>
    <w:link w:val="Citation"/>
    <w:uiPriority w:val="29"/>
    <w:rsid w:val="0059556B"/>
    <w:rPr>
      <w:i/>
      <w:iCs/>
      <w:color w:val="404040" w:themeColor="text1" w:themeTint="BF"/>
    </w:rPr>
  </w:style>
  <w:style w:type="paragraph" w:styleId="Paragraphedeliste">
    <w:name w:val="List Paragraph"/>
    <w:basedOn w:val="Normal"/>
    <w:uiPriority w:val="34"/>
    <w:qFormat/>
    <w:rsid w:val="0059556B"/>
    <w:pPr>
      <w:ind w:left="720"/>
      <w:contextualSpacing/>
    </w:pPr>
  </w:style>
  <w:style w:type="character" w:styleId="Accentuationintense">
    <w:name w:val="Intense Emphasis"/>
    <w:basedOn w:val="Policepardfaut"/>
    <w:uiPriority w:val="21"/>
    <w:qFormat/>
    <w:rsid w:val="0059556B"/>
    <w:rPr>
      <w:i/>
      <w:iCs/>
      <w:color w:val="0F4761" w:themeColor="accent1" w:themeShade="BF"/>
    </w:rPr>
  </w:style>
  <w:style w:type="paragraph" w:styleId="Citationintense">
    <w:name w:val="Intense Quote"/>
    <w:basedOn w:val="Normal"/>
    <w:next w:val="Normal"/>
    <w:link w:val="CitationintenseCar"/>
    <w:uiPriority w:val="30"/>
    <w:qFormat/>
    <w:rsid w:val="00595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556B"/>
    <w:rPr>
      <w:i/>
      <w:iCs/>
      <w:color w:val="0F4761" w:themeColor="accent1" w:themeShade="BF"/>
    </w:rPr>
  </w:style>
  <w:style w:type="character" w:styleId="Rfrenceintense">
    <w:name w:val="Intense Reference"/>
    <w:basedOn w:val="Policepardfaut"/>
    <w:uiPriority w:val="32"/>
    <w:qFormat/>
    <w:rsid w:val="0059556B"/>
    <w:rPr>
      <w:b/>
      <w:bCs/>
      <w:smallCaps/>
      <w:color w:val="0F4761" w:themeColor="accent1" w:themeShade="BF"/>
      <w:spacing w:val="5"/>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customStyle="1" w:styleId="NumPar10000000">
    <w:name w:val="NumPar 10000000"/>
    <w:basedOn w:val="Normal"/>
    <w:next w:val="Text1"/>
    <w:uiPriority w:val="1"/>
    <w:rsid w:val="58BFD37F"/>
    <w:pPr>
      <w:tabs>
        <w:tab w:val="num" w:pos="850"/>
      </w:tabs>
      <w:spacing w:before="120" w:after="120" w:line="240" w:lineRule="auto"/>
      <w:ind w:left="850" w:hanging="850"/>
      <w:jc w:val="both"/>
    </w:pPr>
    <w:rPr>
      <w:rFonts w:eastAsiaTheme="minorEastAsia"/>
      <w:sz w:val="24"/>
      <w:szCs w:val="24"/>
      <w:lang w:val="en-GB"/>
    </w:rPr>
  </w:style>
  <w:style w:type="paragraph" w:customStyle="1" w:styleId="Point10">
    <w:name w:val="Point 10"/>
    <w:basedOn w:val="Normal"/>
    <w:uiPriority w:val="1"/>
    <w:rsid w:val="58BFD37F"/>
    <w:pPr>
      <w:spacing w:before="120" w:after="120" w:line="240" w:lineRule="auto"/>
      <w:ind w:left="1417" w:hanging="567"/>
      <w:jc w:val="both"/>
    </w:pPr>
    <w:rPr>
      <w:rFonts w:eastAsiaTheme="minorEastAsia"/>
      <w:sz w:val="24"/>
      <w:szCs w:val="24"/>
      <w:lang w:val="en-GB"/>
    </w:rPr>
  </w:style>
  <w:style w:type="paragraph" w:customStyle="1" w:styleId="Point2n">
    <w:name w:val="Point 2 (n"/>
    <w:basedOn w:val="Normal"/>
    <w:uiPriority w:val="1"/>
    <w:rsid w:val="58BFD37F"/>
    <w:pPr>
      <w:spacing w:before="120" w:after="120"/>
      <w:ind w:left="1920" w:hanging="360"/>
    </w:pPr>
    <w:rPr>
      <w:rFonts w:eastAsiaTheme="minorEastAsia"/>
      <w:sz w:val="24"/>
      <w:szCs w:val="24"/>
      <w:lang w:val="en-GB" w:eastAsia="en-GB"/>
    </w:rPr>
  </w:style>
  <w:style w:type="paragraph" w:customStyle="1" w:styleId="Point0">
    <w:name w:val="Point 0"/>
    <w:basedOn w:val="Normal"/>
    <w:uiPriority w:val="1"/>
    <w:rsid w:val="58BFD37F"/>
    <w:pPr>
      <w:spacing w:before="120" w:after="120" w:line="240" w:lineRule="auto"/>
      <w:ind w:left="850" w:hanging="850"/>
      <w:jc w:val="both"/>
    </w:pPr>
    <w:rPr>
      <w:rFonts w:eastAsiaTheme="minorEastAsia"/>
      <w:sz w:val="24"/>
      <w:szCs w:val="24"/>
      <w:lang w:val="en-GB"/>
    </w:rPr>
  </w:style>
  <w:style w:type="paragraph" w:customStyle="1" w:styleId="Titrearticle">
    <w:name w:val="Titre article"/>
    <w:basedOn w:val="Normal"/>
    <w:next w:val="Normal"/>
    <w:uiPriority w:val="1"/>
    <w:rsid w:val="58BFD37F"/>
    <w:pPr>
      <w:keepNext/>
      <w:spacing w:before="360" w:after="120" w:line="240" w:lineRule="auto"/>
      <w:jc w:val="center"/>
    </w:pPr>
    <w:rPr>
      <w:rFonts w:eastAsiaTheme="minorEastAsia"/>
      <w:i/>
      <w:iCs/>
      <w:sz w:val="24"/>
      <w:szCs w:val="24"/>
      <w:lang w:val="en-GB"/>
    </w:rPr>
  </w:style>
  <w:style w:type="paragraph" w:customStyle="1" w:styleId="Text1">
    <w:name w:val="Text 1"/>
    <w:basedOn w:val="Normal"/>
    <w:uiPriority w:val="1"/>
    <w:rsid w:val="58BFD37F"/>
    <w:pPr>
      <w:spacing w:before="120" w:after="120" w:line="240" w:lineRule="auto"/>
      <w:ind w:left="850"/>
      <w:jc w:val="both"/>
    </w:pPr>
    <w:rPr>
      <w:rFonts w:eastAsiaTheme="minorEastAsia"/>
      <w:sz w:val="24"/>
      <w:szCs w:val="24"/>
      <w:lang w:val="en-GB"/>
    </w:rPr>
  </w:style>
  <w:style w:type="paragraph" w:styleId="Rvision">
    <w:name w:val="Revision"/>
    <w:hidden/>
    <w:uiPriority w:val="99"/>
    <w:semiHidden/>
    <w:rsid w:val="00F85C88"/>
    <w:pPr>
      <w:spacing w:after="0" w:line="240" w:lineRule="auto"/>
    </w:pPr>
  </w:style>
  <w:style w:type="paragraph" w:customStyle="1" w:styleId="Default">
    <w:name w:val="Default"/>
    <w:rsid w:val="00A24CB6"/>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17" ma:contentTypeDescription="Creare un nuovo documento." ma:contentTypeScope="" ma:versionID="207645d0d4b8201da1be17481ed34905">
  <xsd:schema xmlns:xsd="http://www.w3.org/2001/XMLSchema" xmlns:xs="http://www.w3.org/2001/XMLSchema" xmlns:p="http://schemas.microsoft.com/office/2006/metadata/properties" xmlns:ns2="51ff0941-e4e5-465a-b7e3-c24f1a905a12" xmlns:ns3="bb79dd03-b1dd-4312-8e7b-20f41d462c55" targetNamespace="http://schemas.microsoft.com/office/2006/metadata/properties" ma:root="true" ma:fieldsID="f1348650b20830935e653e28804587a4" ns2:_="" ns3:_="">
    <xsd:import namespace="51ff0941-e4e5-465a-b7e3-c24f1a905a12"/>
    <xsd:import namespace="bb79dd03-b1dd-4312-8e7b-20f41d462c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e90835a3-bf76-44e1-89d8-3b9027d93029}" ma:internalName="TaxCatchAll" ma:showField="CatchAllData" ma:web="bb79dd03-b1dd-4312-8e7b-20f41d462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f0941-e4e5-465a-b7e3-c24f1a905a12">
      <Terms xmlns="http://schemas.microsoft.com/office/infopath/2007/PartnerControls"/>
    </lcf76f155ced4ddcb4097134ff3c332f>
    <TaxCatchAll xmlns="bb79dd03-b1dd-4312-8e7b-20f41d462c55" xsi:nil="true"/>
  </documentManagement>
</p:properties>
</file>

<file path=customXml/itemProps1.xml><?xml version="1.0" encoding="utf-8"?>
<ds:datastoreItem xmlns:ds="http://schemas.openxmlformats.org/officeDocument/2006/customXml" ds:itemID="{39EEC704-14A1-487B-873C-024E60FC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f0941-e4e5-465a-b7e3-c24f1a905a12"/>
    <ds:schemaRef ds:uri="bb79dd03-b1dd-4312-8e7b-20f41d462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7F999-17CA-4D10-A94E-B173983F8315}">
  <ds:schemaRefs>
    <ds:schemaRef ds:uri="http://schemas.microsoft.com/sharepoint/v3/contenttype/forms"/>
  </ds:schemaRefs>
</ds:datastoreItem>
</file>

<file path=customXml/itemProps3.xml><?xml version="1.0" encoding="utf-8"?>
<ds:datastoreItem xmlns:ds="http://schemas.openxmlformats.org/officeDocument/2006/customXml" ds:itemID="{20CDDE0B-472B-4E9E-BA46-DAC675916439}">
  <ds:schemaRefs>
    <ds:schemaRef ds:uri="http://schemas.microsoft.com/office/2006/metadata/properties"/>
    <ds:schemaRef ds:uri="http://schemas.microsoft.com/office/infopath/2007/PartnerControls"/>
    <ds:schemaRef ds:uri="51ff0941-e4e5-465a-b7e3-c24f1a905a12"/>
    <ds:schemaRef ds:uri="bb79dd03-b1dd-4312-8e7b-20f41d462c5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2029</Words>
  <Characters>11164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Anna</dc:creator>
  <cp:keywords/>
  <dc:description/>
  <cp:lastModifiedBy>Vincent MAZZONE</cp:lastModifiedBy>
  <cp:revision>4</cp:revision>
  <dcterms:created xsi:type="dcterms:W3CDTF">2025-11-03T10:40:00Z</dcterms:created>
  <dcterms:modified xsi:type="dcterms:W3CDTF">2025-11-04T11:45:00Z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0x0101000D50CFB84F741E4A84484DFAEEFA538F</vt:lpwstr>
  </property>
  <property fmtid="{D5CDD505-2E9C-101B-9397-08002B2CF9AE}" pid="3" name="MediaServiceImageTags">
    <vt:lpwstr/>
  </property>
</Properties>
</file>