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FC60" w14:textId="77777777" w:rsidR="002F7F3F" w:rsidRPr="00D550E9" w:rsidRDefault="002F7F3F" w:rsidP="002F7F3F">
      <w:pPr>
        <w:pStyle w:val="Titre1"/>
        <w:pBdr>
          <w:bottom w:val="double" w:sz="4" w:space="8" w:color="92D050"/>
        </w:pBdr>
        <w:rPr>
          <w:rFonts w:asciiTheme="minorHAnsi" w:hAnsiTheme="minorHAnsi" w:cstheme="minorHAnsi"/>
          <w:lang w:val="fr-FR" w:eastAsia="fr-FR"/>
        </w:rPr>
      </w:pPr>
      <w:bookmarkStart w:id="0" w:name="_Toc117179187"/>
      <w:bookmarkStart w:id="1" w:name="_Toc119396512"/>
      <w:r w:rsidRPr="00D550E9">
        <w:rPr>
          <w:rFonts w:asciiTheme="minorHAnsi" w:hAnsiTheme="minorHAnsi" w:cstheme="minorHAnsi"/>
          <w:lang w:val="fr-FR" w:eastAsia="fr-FR"/>
        </w:rPr>
        <w:t xml:space="preserve">73.01.04 </w:t>
      </w:r>
      <w:r>
        <w:rPr>
          <w:rFonts w:asciiTheme="minorHAnsi" w:hAnsiTheme="minorHAnsi" w:cstheme="minorHAnsi"/>
          <w:lang w:val="fr-FR" w:eastAsia="fr-FR"/>
        </w:rPr>
        <w:t xml:space="preserve">PCAE- </w:t>
      </w:r>
      <w:r w:rsidRPr="00D550E9">
        <w:rPr>
          <w:rFonts w:asciiTheme="minorHAnsi" w:hAnsiTheme="minorHAnsi" w:cstheme="minorHAnsi"/>
          <w:lang w:val="fr-FR" w:eastAsia="fr-FR"/>
        </w:rPr>
        <w:t>Mécanisation en zone de montagne Nouvelle-Aquitaine</w:t>
      </w:r>
      <w:bookmarkEnd w:id="0"/>
      <w:bookmarkEnd w:id="1"/>
    </w:p>
    <w:p w14:paraId="3D2EB5AF" w14:textId="77777777" w:rsidR="002F7F3F" w:rsidRPr="00D550E9" w:rsidRDefault="002F7F3F" w:rsidP="002F7F3F">
      <w:pPr>
        <w:rPr>
          <w:rFonts w:asciiTheme="minorHAnsi" w:hAnsiTheme="minorHAnsi" w:cs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6211"/>
      </w:tblGrid>
      <w:tr w:rsidR="002F7F3F" w:rsidRPr="001E6707" w14:paraId="536B2F54" w14:textId="77777777" w:rsidTr="002F7F3F">
        <w:tc>
          <w:tcPr>
            <w:tcW w:w="9062" w:type="dxa"/>
            <w:gridSpan w:val="2"/>
            <w:shd w:val="clear" w:color="auto" w:fill="auto"/>
          </w:tcPr>
          <w:p w14:paraId="43FCC700"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b/>
                <w:color w:val="1F497D"/>
                <w:lang w:eastAsia="fr-FR"/>
              </w:rPr>
              <w:t xml:space="preserve">1. Base </w:t>
            </w:r>
            <w:proofErr w:type="spellStart"/>
            <w:r w:rsidRPr="001E6707">
              <w:rPr>
                <w:rFonts w:asciiTheme="minorHAnsi" w:hAnsiTheme="minorHAnsi" w:cstheme="minorHAnsi"/>
                <w:b/>
                <w:color w:val="1F497D"/>
                <w:lang w:eastAsia="fr-FR"/>
              </w:rPr>
              <w:t>réglementaire</w:t>
            </w:r>
            <w:proofErr w:type="spellEnd"/>
            <w:r w:rsidRPr="001E6707">
              <w:rPr>
                <w:rFonts w:asciiTheme="minorHAnsi" w:hAnsiTheme="minorHAnsi" w:cstheme="minorHAnsi"/>
                <w:b/>
                <w:color w:val="1F497D"/>
                <w:lang w:eastAsia="fr-FR"/>
              </w:rPr>
              <w:t xml:space="preserve"> PSN </w:t>
            </w:r>
          </w:p>
        </w:tc>
      </w:tr>
      <w:tr w:rsidR="002F7F3F" w:rsidRPr="001E6707" w14:paraId="6AFDC82F" w14:textId="77777777" w:rsidTr="002F7F3F">
        <w:tc>
          <w:tcPr>
            <w:tcW w:w="2851" w:type="dxa"/>
            <w:shd w:val="clear" w:color="auto" w:fill="auto"/>
          </w:tcPr>
          <w:p w14:paraId="52038BAC" w14:textId="77777777" w:rsidR="002F7F3F" w:rsidRPr="001E6707" w:rsidRDefault="002F7F3F" w:rsidP="00851DCE">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Fonds</w:t>
            </w:r>
          </w:p>
        </w:tc>
        <w:tc>
          <w:tcPr>
            <w:tcW w:w="6211" w:type="dxa"/>
            <w:shd w:val="clear" w:color="auto" w:fill="auto"/>
          </w:tcPr>
          <w:p w14:paraId="6D121D5F"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FEADER</w:t>
            </w:r>
          </w:p>
        </w:tc>
      </w:tr>
      <w:tr w:rsidR="002F7F3F" w:rsidRPr="001E6707" w14:paraId="264746BD" w14:textId="77777777" w:rsidTr="002F7F3F">
        <w:tc>
          <w:tcPr>
            <w:tcW w:w="2851" w:type="dxa"/>
            <w:shd w:val="clear" w:color="auto" w:fill="auto"/>
          </w:tcPr>
          <w:p w14:paraId="24F5AAE3" w14:textId="77777777" w:rsidR="002F7F3F" w:rsidRPr="001E6707" w:rsidRDefault="002F7F3F" w:rsidP="00851DCE">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Type </w:t>
            </w:r>
            <w:proofErr w:type="spellStart"/>
            <w:r w:rsidRPr="001E6707">
              <w:rPr>
                <w:rFonts w:asciiTheme="minorHAnsi" w:hAnsiTheme="minorHAnsi" w:cstheme="minorHAnsi"/>
                <w:color w:val="1F497D"/>
                <w:lang w:eastAsia="fr-FR"/>
              </w:rPr>
              <w:t>d’intervention</w:t>
            </w:r>
            <w:proofErr w:type="spellEnd"/>
            <w:r w:rsidRPr="001E6707">
              <w:rPr>
                <w:rFonts w:asciiTheme="minorHAnsi" w:hAnsiTheme="minorHAnsi" w:cstheme="minorHAnsi"/>
                <w:color w:val="1F497D"/>
                <w:lang w:eastAsia="fr-FR"/>
              </w:rPr>
              <w:t xml:space="preserve"> RDR 4</w:t>
            </w:r>
          </w:p>
        </w:tc>
        <w:tc>
          <w:tcPr>
            <w:tcW w:w="6211" w:type="dxa"/>
            <w:shd w:val="clear" w:color="auto" w:fill="auto"/>
          </w:tcPr>
          <w:p w14:paraId="7FA98B05" w14:textId="77777777" w:rsidR="002F7F3F" w:rsidRPr="001E6707" w:rsidRDefault="002F7F3F" w:rsidP="00851DCE">
            <w:pPr>
              <w:adjustRightInd w:val="0"/>
              <w:rPr>
                <w:rFonts w:asciiTheme="minorHAnsi" w:hAnsiTheme="minorHAnsi" w:cstheme="minorHAnsi"/>
                <w:color w:val="000000"/>
                <w:lang w:eastAsia="fr-FR"/>
              </w:rPr>
            </w:pPr>
            <w:proofErr w:type="spellStart"/>
            <w:r w:rsidRPr="001E6707">
              <w:rPr>
                <w:rFonts w:asciiTheme="minorHAnsi" w:hAnsiTheme="minorHAnsi" w:cstheme="minorHAnsi"/>
                <w:color w:val="000000"/>
                <w:lang w:eastAsia="fr-FR"/>
              </w:rPr>
              <w:t>Investissements</w:t>
            </w:r>
            <w:proofErr w:type="spellEnd"/>
            <w:r w:rsidRPr="001E6707">
              <w:rPr>
                <w:rFonts w:asciiTheme="minorHAnsi" w:hAnsiTheme="minorHAnsi" w:cstheme="minorHAnsi"/>
                <w:color w:val="000000"/>
                <w:lang w:eastAsia="fr-FR"/>
              </w:rPr>
              <w:t xml:space="preserve"> </w:t>
            </w:r>
          </w:p>
        </w:tc>
      </w:tr>
      <w:tr w:rsidR="002F7F3F" w:rsidRPr="001E6707" w14:paraId="1C2D775E" w14:textId="77777777" w:rsidTr="002F7F3F">
        <w:tc>
          <w:tcPr>
            <w:tcW w:w="2851" w:type="dxa"/>
            <w:shd w:val="clear" w:color="auto" w:fill="auto"/>
          </w:tcPr>
          <w:p w14:paraId="17718752" w14:textId="77777777" w:rsidR="002F7F3F" w:rsidRPr="001E6707" w:rsidRDefault="002F7F3F" w:rsidP="00851DCE">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 xml:space="preserve">Base réglementaire : article du PSN </w:t>
            </w:r>
          </w:p>
        </w:tc>
        <w:tc>
          <w:tcPr>
            <w:tcW w:w="6211" w:type="dxa"/>
            <w:shd w:val="clear" w:color="auto" w:fill="auto"/>
          </w:tcPr>
          <w:p w14:paraId="79611347"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article 73.01</w:t>
            </w:r>
          </w:p>
        </w:tc>
      </w:tr>
      <w:tr w:rsidR="002F7F3F" w:rsidRPr="008932B3" w14:paraId="0A017F5A" w14:textId="77777777" w:rsidTr="002F7F3F">
        <w:tc>
          <w:tcPr>
            <w:tcW w:w="2851" w:type="dxa"/>
            <w:shd w:val="clear" w:color="auto" w:fill="auto"/>
          </w:tcPr>
          <w:p w14:paraId="17490C45"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Intitulé</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dispositif</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régional</w:t>
            </w:r>
            <w:proofErr w:type="spellEnd"/>
            <w:r w:rsidRPr="001E6707">
              <w:rPr>
                <w:rFonts w:asciiTheme="minorHAnsi" w:hAnsiTheme="minorHAnsi" w:cstheme="minorHAnsi"/>
                <w:color w:val="1F497D"/>
                <w:lang w:eastAsia="fr-FR"/>
              </w:rPr>
              <w:t xml:space="preserve"> NAQ</w:t>
            </w:r>
          </w:p>
        </w:tc>
        <w:tc>
          <w:tcPr>
            <w:tcW w:w="6211" w:type="dxa"/>
            <w:shd w:val="clear" w:color="auto" w:fill="auto"/>
          </w:tcPr>
          <w:p w14:paraId="6868729A" w14:textId="77777777" w:rsidR="002F7F3F" w:rsidRPr="001E6707" w:rsidRDefault="002F7F3F" w:rsidP="00851DCE">
            <w:pPr>
              <w:adjustRightInd w:val="0"/>
              <w:rPr>
                <w:rFonts w:asciiTheme="minorHAnsi" w:hAnsiTheme="minorHAnsi" w:cstheme="minorHAnsi"/>
                <w:color w:val="000000"/>
                <w:lang w:val="fr-FR" w:eastAsia="fr-FR"/>
              </w:rPr>
            </w:pPr>
            <w:r w:rsidRPr="00FC6327">
              <w:rPr>
                <w:rFonts w:asciiTheme="minorHAnsi" w:hAnsiTheme="minorHAnsi" w:cstheme="minorHAnsi"/>
                <w:b/>
                <w:color w:val="000000"/>
                <w:lang w:val="fr-FR" w:eastAsia="fr-FR"/>
              </w:rPr>
              <w:t>PCAE - Mécanisation en zone de montagne Nouvelle-Aquitaine</w:t>
            </w:r>
            <w:r w:rsidRPr="001E6707">
              <w:rPr>
                <w:rFonts w:asciiTheme="minorHAnsi" w:hAnsiTheme="minorHAnsi" w:cstheme="minorHAnsi"/>
                <w:color w:val="000000"/>
                <w:lang w:val="fr-FR" w:eastAsia="fr-FR"/>
              </w:rPr>
              <w:t xml:space="preserve"> (Pyrénées-Atlantiques et Limousin)</w:t>
            </w:r>
          </w:p>
        </w:tc>
      </w:tr>
      <w:tr w:rsidR="002F7F3F" w:rsidRPr="00120AEB" w14:paraId="371DEB7F" w14:textId="77777777" w:rsidTr="002F7F3F">
        <w:tc>
          <w:tcPr>
            <w:tcW w:w="2851" w:type="dxa"/>
            <w:shd w:val="clear" w:color="auto" w:fill="auto"/>
          </w:tcPr>
          <w:p w14:paraId="767F4768"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Indicateurs</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résultats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associés</w:t>
            </w:r>
            <w:proofErr w:type="spellEnd"/>
          </w:p>
        </w:tc>
        <w:tc>
          <w:tcPr>
            <w:tcW w:w="6211" w:type="dxa"/>
            <w:shd w:val="clear" w:color="auto" w:fill="auto"/>
          </w:tcPr>
          <w:p w14:paraId="0BE344F7" w14:textId="77777777" w:rsidR="002F7F3F" w:rsidRPr="001E6707" w:rsidRDefault="002F7F3F" w:rsidP="00851DCE">
            <w:pPr>
              <w:rPr>
                <w:rFonts w:asciiTheme="minorHAnsi" w:hAnsiTheme="minorHAnsi" w:cstheme="minorHAnsi"/>
                <w:lang w:val="fr-FR" w:eastAsia="fr-FR"/>
              </w:rPr>
            </w:pPr>
            <w:r w:rsidRPr="001E6707">
              <w:rPr>
                <w:rFonts w:asciiTheme="minorHAnsi" w:hAnsiTheme="minorHAnsi" w:cstheme="minorHAnsi"/>
                <w:lang w:val="fr-FR" w:eastAsia="fr-FR"/>
              </w:rPr>
              <w:t>R.9 Modernisation des exploitations</w:t>
            </w:r>
          </w:p>
          <w:p w14:paraId="28D965AA" w14:textId="77777777" w:rsidR="002F7F3F" w:rsidRPr="001E6707" w:rsidRDefault="002F7F3F" w:rsidP="00851DCE">
            <w:pPr>
              <w:adjustRightInd w:val="0"/>
              <w:rPr>
                <w:rFonts w:asciiTheme="minorHAnsi" w:hAnsiTheme="minorHAnsi" w:cstheme="minorHAnsi"/>
                <w:color w:val="000000"/>
                <w:lang w:val="fr-FR" w:eastAsia="fr-FR"/>
              </w:rPr>
            </w:pPr>
          </w:p>
        </w:tc>
      </w:tr>
      <w:tr w:rsidR="002F7F3F" w:rsidRPr="008932B3" w14:paraId="0298E6AA" w14:textId="77777777" w:rsidTr="002F7F3F">
        <w:tc>
          <w:tcPr>
            <w:tcW w:w="2851" w:type="dxa"/>
            <w:shd w:val="clear" w:color="auto" w:fill="auto"/>
          </w:tcPr>
          <w:p w14:paraId="11E03E95"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Indicateurs</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réalisation</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associés</w:t>
            </w:r>
            <w:proofErr w:type="spellEnd"/>
          </w:p>
        </w:tc>
        <w:tc>
          <w:tcPr>
            <w:tcW w:w="6211" w:type="dxa"/>
            <w:shd w:val="clear" w:color="auto" w:fill="auto"/>
          </w:tcPr>
          <w:p w14:paraId="62CD8CA1"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lang w:val="fr-FR" w:eastAsia="fr-FR"/>
              </w:rPr>
              <w:t>O.20 Nombre d'opérations ou d'unités bénéficiant d'une aide en faveur d'investissements productifs dans les exploitations au titre du FEADER</w:t>
            </w:r>
          </w:p>
        </w:tc>
      </w:tr>
      <w:tr w:rsidR="002F7F3F" w:rsidRPr="008932B3" w14:paraId="7DAB6ABF" w14:textId="77777777" w:rsidTr="002F7F3F">
        <w:tc>
          <w:tcPr>
            <w:tcW w:w="2851" w:type="dxa"/>
            <w:shd w:val="clear" w:color="auto" w:fill="auto"/>
          </w:tcPr>
          <w:p w14:paraId="3ED5C9FF" w14:textId="77777777" w:rsidR="002F7F3F" w:rsidRPr="001E6707" w:rsidRDefault="002F7F3F" w:rsidP="00851DCE">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 xml:space="preserve">Description du dispositif régional (objectifs, enjeux, périmètre) </w:t>
            </w:r>
          </w:p>
          <w:p w14:paraId="2AB304FF" w14:textId="77777777" w:rsidR="002F7F3F" w:rsidRPr="001E6707" w:rsidRDefault="002F7F3F" w:rsidP="00851DCE">
            <w:pPr>
              <w:adjustRightInd w:val="0"/>
              <w:rPr>
                <w:rFonts w:asciiTheme="minorHAnsi" w:hAnsiTheme="minorHAnsi" w:cstheme="minorHAnsi"/>
                <w:color w:val="1F497D"/>
                <w:lang w:val="fr-FR" w:eastAsia="fr-FR"/>
              </w:rPr>
            </w:pPr>
          </w:p>
        </w:tc>
        <w:tc>
          <w:tcPr>
            <w:tcW w:w="6211" w:type="dxa"/>
            <w:shd w:val="clear" w:color="auto" w:fill="auto"/>
          </w:tcPr>
          <w:p w14:paraId="30D36E73"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Le maintien de la compétitivité des activités agricoles en zone de montagne a été identifié comme l’un des axes de la stratégie régionale agricole de Nouvelle-Aquitaine. </w:t>
            </w:r>
          </w:p>
          <w:p w14:paraId="3A40F404"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Les surcoûts qui sont engendrés </w:t>
            </w:r>
            <w:proofErr w:type="gramStart"/>
            <w:r w:rsidRPr="001E6707">
              <w:rPr>
                <w:rFonts w:asciiTheme="minorHAnsi" w:hAnsiTheme="minorHAnsi" w:cstheme="minorHAnsi"/>
                <w:color w:val="000000"/>
                <w:lang w:val="fr-FR" w:eastAsia="fr-FR"/>
              </w:rPr>
              <w:t>par  l’acquisition</w:t>
            </w:r>
            <w:proofErr w:type="gramEnd"/>
            <w:r w:rsidRPr="001E6707">
              <w:rPr>
                <w:rFonts w:asciiTheme="minorHAnsi" w:hAnsiTheme="minorHAnsi" w:cstheme="minorHAnsi"/>
                <w:color w:val="000000"/>
                <w:lang w:val="fr-FR" w:eastAsia="fr-FR"/>
              </w:rPr>
              <w:t xml:space="preserve"> d’équipements spécifiques de traction, de récolte de fourrages ou d’entretien de zones à forte pente doivent être accompagnés pour que les exploitations concernées restent compétitives. </w:t>
            </w:r>
          </w:p>
          <w:p w14:paraId="68DE06CE"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L’un des enjeux majeurs est de sécuriser l’activité agricole tout en diminuant la pénibilité du travail</w:t>
            </w:r>
          </w:p>
          <w:p w14:paraId="28B8065F" w14:textId="77777777" w:rsidR="002F7F3F" w:rsidRPr="001E6707" w:rsidRDefault="002F7F3F" w:rsidP="00851DCE">
            <w:pPr>
              <w:adjustRightInd w:val="0"/>
              <w:rPr>
                <w:rFonts w:asciiTheme="minorHAnsi" w:hAnsiTheme="minorHAnsi" w:cstheme="minorHAnsi"/>
                <w:color w:val="000000"/>
                <w:lang w:val="fr-FR" w:eastAsia="fr-FR"/>
              </w:rPr>
            </w:pPr>
          </w:p>
          <w:p w14:paraId="36D935D1" w14:textId="77777777" w:rsidR="002F7F3F" w:rsidRPr="001E6707" w:rsidRDefault="002F7F3F" w:rsidP="00851DCE">
            <w:pPr>
              <w:adjustRightInd w:val="0"/>
              <w:rPr>
                <w:rFonts w:asciiTheme="minorHAnsi" w:hAnsiTheme="minorHAnsi" w:cstheme="minorHAnsi"/>
                <w:color w:val="FF0000"/>
                <w:lang w:val="fr-FR" w:eastAsia="fr-FR"/>
              </w:rPr>
            </w:pPr>
            <w:r w:rsidRPr="001E6707">
              <w:rPr>
                <w:rFonts w:asciiTheme="minorHAnsi" w:hAnsiTheme="minorHAnsi" w:cstheme="minorHAnsi"/>
                <w:color w:val="000000"/>
                <w:lang w:val="fr-FR" w:eastAsia="fr-FR"/>
              </w:rPr>
              <w:t>Les systèmes agricoles en zone de montagne et dans les espaces naturels à vocation pastorale doivent être soutenus pour valoriser et assurer le maintien de ces pratiques favorables à la préservation de l’environnement.</w:t>
            </w:r>
          </w:p>
          <w:p w14:paraId="45F25B75" w14:textId="77777777" w:rsidR="002F7F3F" w:rsidRPr="001E6707" w:rsidRDefault="002F7F3F" w:rsidP="00851DCE">
            <w:pPr>
              <w:adjustRightInd w:val="0"/>
              <w:rPr>
                <w:rFonts w:asciiTheme="minorHAnsi" w:hAnsiTheme="minorHAnsi" w:cstheme="minorHAnsi"/>
                <w:color w:val="000000"/>
                <w:lang w:val="fr-FR" w:eastAsia="fr-FR"/>
              </w:rPr>
            </w:pPr>
          </w:p>
        </w:tc>
      </w:tr>
      <w:tr w:rsidR="002F7F3F" w:rsidRPr="001E6707" w14:paraId="60290B00" w14:textId="77777777" w:rsidTr="002F7F3F">
        <w:tc>
          <w:tcPr>
            <w:tcW w:w="2851" w:type="dxa"/>
            <w:shd w:val="clear" w:color="auto" w:fill="auto"/>
          </w:tcPr>
          <w:p w14:paraId="342B1A06" w14:textId="77777777" w:rsidR="002F7F3F" w:rsidRPr="001E6707" w:rsidRDefault="002F7F3F" w:rsidP="00851DCE">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Date indicative de démarrage du dispositif</w:t>
            </w:r>
          </w:p>
        </w:tc>
        <w:tc>
          <w:tcPr>
            <w:tcW w:w="6211" w:type="dxa"/>
            <w:shd w:val="clear" w:color="auto" w:fill="auto"/>
          </w:tcPr>
          <w:p w14:paraId="74921CBC"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Avril 2023</w:t>
            </w:r>
          </w:p>
          <w:p w14:paraId="24656038" w14:textId="77777777" w:rsidR="002F7F3F" w:rsidRPr="001E6707" w:rsidRDefault="002F7F3F" w:rsidP="00851DCE">
            <w:pPr>
              <w:adjustRightInd w:val="0"/>
              <w:rPr>
                <w:rFonts w:asciiTheme="minorHAnsi" w:hAnsiTheme="minorHAnsi" w:cstheme="minorHAnsi"/>
                <w:color w:val="000000"/>
                <w:lang w:eastAsia="fr-FR"/>
              </w:rPr>
            </w:pPr>
          </w:p>
        </w:tc>
      </w:tr>
      <w:tr w:rsidR="002F7F3F" w:rsidRPr="001E6707" w14:paraId="5B0D0EC4" w14:textId="77777777" w:rsidTr="002F7F3F">
        <w:tc>
          <w:tcPr>
            <w:tcW w:w="9062" w:type="dxa"/>
            <w:gridSpan w:val="2"/>
            <w:shd w:val="clear" w:color="auto" w:fill="auto"/>
          </w:tcPr>
          <w:p w14:paraId="2197E3DB"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b/>
                <w:color w:val="1F497D"/>
                <w:lang w:eastAsia="fr-FR"/>
              </w:rPr>
              <w:t xml:space="preserve">2. </w:t>
            </w:r>
            <w:proofErr w:type="spellStart"/>
            <w:r w:rsidRPr="001E6707">
              <w:rPr>
                <w:rFonts w:asciiTheme="minorHAnsi" w:hAnsiTheme="minorHAnsi" w:cstheme="minorHAnsi"/>
                <w:b/>
                <w:color w:val="1F497D"/>
                <w:lang w:eastAsia="fr-FR"/>
              </w:rPr>
              <w:t>Eligibilité</w:t>
            </w:r>
            <w:proofErr w:type="spellEnd"/>
            <w:r w:rsidRPr="001E6707">
              <w:rPr>
                <w:rFonts w:asciiTheme="minorHAnsi" w:hAnsiTheme="minorHAnsi" w:cstheme="minorHAnsi"/>
                <w:b/>
                <w:color w:val="1F497D"/>
                <w:lang w:eastAsia="fr-FR"/>
              </w:rPr>
              <w:t xml:space="preserve"> </w:t>
            </w:r>
          </w:p>
        </w:tc>
      </w:tr>
      <w:tr w:rsidR="002F7F3F" w:rsidRPr="008932B3" w14:paraId="6FA063EB" w14:textId="77777777" w:rsidTr="002F7F3F">
        <w:tc>
          <w:tcPr>
            <w:tcW w:w="2851" w:type="dxa"/>
            <w:shd w:val="clear" w:color="auto" w:fill="auto"/>
          </w:tcPr>
          <w:p w14:paraId="1EFC569D" w14:textId="77777777" w:rsidR="002F7F3F" w:rsidRPr="001E6707" w:rsidRDefault="002F7F3F" w:rsidP="00851DCE">
            <w:pPr>
              <w:adjustRightInd w:val="0"/>
              <w:rPr>
                <w:rFonts w:asciiTheme="minorHAnsi" w:hAnsiTheme="minorHAnsi" w:cstheme="minorHAnsi"/>
                <w:lang w:eastAsia="fr-FR"/>
              </w:rPr>
            </w:pPr>
            <w:proofErr w:type="spellStart"/>
            <w:r w:rsidRPr="001E6707">
              <w:rPr>
                <w:rFonts w:asciiTheme="minorHAnsi" w:hAnsiTheme="minorHAnsi" w:cstheme="minorHAnsi"/>
                <w:color w:val="1F497D"/>
                <w:lang w:eastAsia="fr-FR"/>
              </w:rPr>
              <w:t>Bénéficiaires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éligibles</w:t>
            </w:r>
            <w:proofErr w:type="spellEnd"/>
            <w:r w:rsidRPr="001E6707">
              <w:rPr>
                <w:rFonts w:asciiTheme="minorHAnsi" w:hAnsiTheme="minorHAnsi" w:cstheme="minorHAnsi"/>
                <w:lang w:eastAsia="fr-FR"/>
              </w:rPr>
              <w:t xml:space="preserve"> </w:t>
            </w:r>
          </w:p>
        </w:tc>
        <w:tc>
          <w:tcPr>
            <w:tcW w:w="6211" w:type="dxa"/>
            <w:shd w:val="clear" w:color="auto" w:fill="auto"/>
          </w:tcPr>
          <w:p w14:paraId="51937D9B" w14:textId="77777777" w:rsidR="002F7F3F" w:rsidRPr="001E6707" w:rsidRDefault="002F7F3F" w:rsidP="00851DCE">
            <w:pPr>
              <w:adjustRightInd w:val="0"/>
              <w:jc w:val="both"/>
              <w:rPr>
                <w:rFonts w:asciiTheme="minorHAnsi" w:hAnsiTheme="minorHAnsi" w:cstheme="minorHAnsi"/>
                <w:color w:val="000000"/>
                <w:lang w:val="fr-FR" w:eastAsia="fr-FR"/>
              </w:rPr>
            </w:pPr>
            <w:r>
              <w:rPr>
                <w:rFonts w:asciiTheme="minorHAnsi" w:hAnsiTheme="minorHAnsi" w:cstheme="minorHAnsi"/>
                <w:color w:val="000000"/>
                <w:lang w:val="fr-FR" w:eastAsia="fr-FR"/>
              </w:rPr>
              <w:t>L</w:t>
            </w:r>
            <w:r w:rsidRPr="001E6707">
              <w:rPr>
                <w:rFonts w:asciiTheme="minorHAnsi" w:hAnsiTheme="minorHAnsi" w:cstheme="minorHAnsi"/>
                <w:color w:val="000000"/>
                <w:lang w:val="fr-FR" w:eastAsia="fr-FR"/>
              </w:rPr>
              <w:t>es exploitations agricoles qui rentrent dans l’une des trois catégories ci-dessous :</w:t>
            </w:r>
          </w:p>
          <w:p w14:paraId="22468278" w14:textId="77777777" w:rsidR="002F7F3F" w:rsidRPr="001E6707" w:rsidRDefault="002F7F3F" w:rsidP="00851DCE">
            <w:pPr>
              <w:jc w:val="both"/>
              <w:rPr>
                <w:rFonts w:asciiTheme="minorHAnsi" w:hAnsiTheme="minorHAnsi" w:cstheme="minorHAnsi"/>
                <w:color w:val="000000"/>
                <w:lang w:val="fr-FR" w:eastAsia="fr-FR"/>
              </w:rPr>
            </w:pPr>
            <w:r w:rsidRPr="001E6707">
              <w:rPr>
                <w:rFonts w:asciiTheme="minorHAnsi" w:hAnsiTheme="minorHAnsi" w:cstheme="minorHAnsi"/>
                <w:b/>
                <w:color w:val="000000"/>
                <w:lang w:val="fr-FR" w:eastAsia="fr-FR"/>
              </w:rPr>
              <w:t>1/ Agriculteur actif personne physique</w:t>
            </w:r>
            <w:r w:rsidRPr="001E6707">
              <w:rPr>
                <w:rFonts w:asciiTheme="minorHAnsi" w:hAnsiTheme="minorHAnsi" w:cstheme="minorHAnsi"/>
                <w:color w:val="000000"/>
                <w:lang w:val="fr-FR" w:eastAsia="fr-FR"/>
              </w:rPr>
              <w:t>, assuré pour son propre compte contre les accidents du travail et les maladies professionnelles sous un régime de protection sociale des personnes non salariées des professions agricoles (ATEXA). En outre, pour une personne physique ayant dépassé l’âge légal limite de la retraite à taux plein tel que défini dans le régime des salariés, elle ne doit pas avoir fait valoir ses droits à la retraite.</w:t>
            </w:r>
          </w:p>
          <w:p w14:paraId="0608034C" w14:textId="77777777" w:rsidR="002F7F3F" w:rsidRPr="001E6707" w:rsidRDefault="002F7F3F" w:rsidP="00851DCE">
            <w:pPr>
              <w:ind w:left="708" w:firstLine="708"/>
              <w:jc w:val="both"/>
              <w:rPr>
                <w:rFonts w:asciiTheme="minorHAnsi" w:hAnsiTheme="minorHAnsi" w:cstheme="minorHAnsi"/>
                <w:color w:val="000000"/>
                <w:lang w:val="fr-FR" w:eastAsia="fr-FR"/>
              </w:rPr>
            </w:pPr>
          </w:p>
          <w:p w14:paraId="7C733BF2" w14:textId="77777777" w:rsidR="002F7F3F" w:rsidRPr="001E6707" w:rsidRDefault="002F7F3F" w:rsidP="00851DCE">
            <w:pPr>
              <w:jc w:val="both"/>
              <w:rPr>
                <w:rFonts w:asciiTheme="minorHAnsi" w:hAnsiTheme="minorHAnsi" w:cstheme="minorHAnsi"/>
                <w:color w:val="000000"/>
                <w:lang w:val="fr-FR" w:eastAsia="fr-FR"/>
              </w:rPr>
            </w:pPr>
            <w:r w:rsidRPr="001E6707">
              <w:rPr>
                <w:rFonts w:asciiTheme="minorHAnsi" w:hAnsiTheme="minorHAnsi" w:cstheme="minorHAnsi"/>
                <w:b/>
                <w:color w:val="000000"/>
                <w:lang w:val="fr-FR" w:eastAsia="fr-FR"/>
              </w:rPr>
              <w:t>2/ Agriculteur actif personne morale exerçant sous forme sociétaire (à l'exclusion des SCI et GFA),</w:t>
            </w:r>
            <w:r w:rsidRPr="001E6707">
              <w:rPr>
                <w:rFonts w:asciiTheme="minorHAnsi" w:hAnsiTheme="minorHAnsi" w:cstheme="minorHAnsi"/>
                <w:color w:val="000000"/>
                <w:lang w:val="fr-FR" w:eastAsia="fr-FR"/>
              </w:rPr>
              <w:t xml:space="preserve"> remplissant les </w:t>
            </w:r>
            <w:r w:rsidRPr="001E6707">
              <w:rPr>
                <w:rFonts w:asciiTheme="minorHAnsi" w:hAnsiTheme="minorHAnsi" w:cstheme="minorHAnsi"/>
                <w:color w:val="000000"/>
                <w:u w:val="single"/>
                <w:lang w:val="fr-FR" w:eastAsia="fr-FR"/>
              </w:rPr>
              <w:t>conditions suivantes cumulatives</w:t>
            </w:r>
            <w:r w:rsidRPr="001E6707">
              <w:rPr>
                <w:rFonts w:asciiTheme="minorHAnsi" w:hAnsiTheme="minorHAnsi" w:cstheme="minorHAnsi"/>
                <w:color w:val="000000"/>
                <w:lang w:val="fr-FR" w:eastAsia="fr-FR"/>
              </w:rPr>
              <w:t xml:space="preserve"> :</w:t>
            </w:r>
          </w:p>
          <w:p w14:paraId="6BCF9BBD" w14:textId="77777777" w:rsidR="002F7F3F" w:rsidRPr="001E6707" w:rsidRDefault="002F7F3F" w:rsidP="00851DCE">
            <w:pPr>
              <w:ind w:left="708" w:hanging="347"/>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l'objet de la société est agricole, ET</w:t>
            </w:r>
          </w:p>
          <w:p w14:paraId="16967FFF" w14:textId="77777777" w:rsidR="002F7F3F" w:rsidRPr="001E6707" w:rsidRDefault="002F7F3F" w:rsidP="00851DCE">
            <w:pPr>
              <w:ind w:left="708" w:hanging="347"/>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au moins un associé respecte les conditions fixées pour une personne physique.</w:t>
            </w:r>
          </w:p>
          <w:p w14:paraId="26B9277D" w14:textId="77777777" w:rsidR="002F7F3F" w:rsidRPr="001E6707" w:rsidRDefault="002F7F3F" w:rsidP="00851DCE">
            <w:pPr>
              <w:ind w:left="708"/>
              <w:jc w:val="both"/>
              <w:rPr>
                <w:rFonts w:asciiTheme="minorHAnsi" w:hAnsiTheme="minorHAnsi" w:cstheme="minorHAnsi"/>
                <w:color w:val="000000"/>
                <w:lang w:val="fr-FR" w:eastAsia="fr-FR"/>
              </w:rPr>
            </w:pPr>
          </w:p>
          <w:p w14:paraId="282CB5B0" w14:textId="77777777" w:rsidR="002F7F3F" w:rsidRPr="001E6707" w:rsidRDefault="002F7F3F" w:rsidP="00851DCE">
            <w:pPr>
              <w:jc w:val="both"/>
              <w:rPr>
                <w:rFonts w:asciiTheme="minorHAnsi" w:hAnsiTheme="minorHAnsi" w:cstheme="minorHAnsi"/>
                <w:color w:val="000000"/>
                <w:u w:val="single"/>
                <w:lang w:val="fr-FR" w:eastAsia="fr-FR"/>
              </w:rPr>
            </w:pPr>
            <w:r w:rsidRPr="001E6707">
              <w:rPr>
                <w:rFonts w:asciiTheme="minorHAnsi" w:hAnsiTheme="minorHAnsi" w:cstheme="minorHAnsi"/>
                <w:b/>
                <w:color w:val="000000"/>
                <w:lang w:val="fr-FR" w:eastAsia="fr-FR"/>
              </w:rPr>
              <w:t>3/ Agriculteur actif personne morale exerçant sous forme d'association</w:t>
            </w:r>
            <w:r w:rsidRPr="001E6707">
              <w:rPr>
                <w:rFonts w:asciiTheme="minorHAnsi" w:hAnsiTheme="minorHAnsi" w:cstheme="minorHAnsi"/>
                <w:color w:val="000000"/>
                <w:lang w:val="fr-FR" w:eastAsia="fr-FR"/>
              </w:rPr>
              <w:t xml:space="preserve"> remplissant les </w:t>
            </w:r>
            <w:r w:rsidRPr="001E6707">
              <w:rPr>
                <w:rFonts w:asciiTheme="minorHAnsi" w:hAnsiTheme="minorHAnsi" w:cstheme="minorHAnsi"/>
                <w:color w:val="000000"/>
                <w:u w:val="single"/>
                <w:lang w:val="fr-FR" w:eastAsia="fr-FR"/>
              </w:rPr>
              <w:t>conditions suivantes cumulatives :</w:t>
            </w:r>
          </w:p>
          <w:p w14:paraId="5642DB28" w14:textId="77777777" w:rsidR="002F7F3F" w:rsidRPr="001E6707" w:rsidRDefault="002F7F3F" w:rsidP="00851DCE">
            <w:pPr>
              <w:ind w:left="708" w:hanging="347"/>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l'objet de l'association est agricole, ET</w:t>
            </w:r>
          </w:p>
          <w:p w14:paraId="5DDE6C8A" w14:textId="77777777" w:rsidR="002F7F3F" w:rsidRPr="001E6707" w:rsidRDefault="002F7F3F" w:rsidP="00851DCE">
            <w:pPr>
              <w:ind w:left="708" w:hanging="347"/>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au moins un adhérent respecte les conditions fixées pour une personne physique</w:t>
            </w:r>
          </w:p>
          <w:p w14:paraId="38F6D043" w14:textId="77777777" w:rsidR="002F7F3F" w:rsidRPr="001E6707" w:rsidRDefault="002F7F3F" w:rsidP="00851DCE">
            <w:pPr>
              <w:rPr>
                <w:rFonts w:asciiTheme="minorHAnsi" w:hAnsiTheme="minorHAnsi" w:cstheme="minorHAnsi"/>
                <w:color w:val="000000"/>
                <w:lang w:val="fr-FR" w:eastAsia="fr-FR"/>
              </w:rPr>
            </w:pPr>
          </w:p>
        </w:tc>
      </w:tr>
      <w:tr w:rsidR="002F7F3F" w:rsidRPr="008932B3" w14:paraId="1B1FA4FF" w14:textId="77777777" w:rsidTr="002F7F3F">
        <w:tc>
          <w:tcPr>
            <w:tcW w:w="2851" w:type="dxa"/>
            <w:shd w:val="clear" w:color="auto" w:fill="auto"/>
          </w:tcPr>
          <w:p w14:paraId="77261672" w14:textId="77777777" w:rsidR="002F7F3F" w:rsidRPr="001E6707" w:rsidRDefault="002F7F3F" w:rsidP="00851DCE">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lastRenderedPageBreak/>
              <w:t xml:space="preserve">Conditions </w:t>
            </w:r>
            <w:proofErr w:type="spellStart"/>
            <w:r w:rsidRPr="001E6707">
              <w:rPr>
                <w:rFonts w:asciiTheme="minorHAnsi" w:hAnsiTheme="minorHAnsi" w:cstheme="minorHAnsi"/>
                <w:color w:val="1F497D"/>
                <w:lang w:eastAsia="fr-FR"/>
              </w:rPr>
              <w:t>d’éligibilité</w:t>
            </w:r>
            <w:proofErr w:type="spellEnd"/>
          </w:p>
        </w:tc>
        <w:tc>
          <w:tcPr>
            <w:tcW w:w="6211" w:type="dxa"/>
            <w:shd w:val="clear" w:color="auto" w:fill="auto"/>
          </w:tcPr>
          <w:p w14:paraId="0B37F8CC" w14:textId="77777777" w:rsidR="002F7F3F" w:rsidRPr="001E6707" w:rsidRDefault="002F7F3F" w:rsidP="00851DCE">
            <w:pPr>
              <w:adjustRightInd w:val="0"/>
              <w:rPr>
                <w:rFonts w:asciiTheme="minorHAnsi" w:hAnsiTheme="minorHAnsi" w:cstheme="minorHAnsi"/>
                <w:b/>
                <w:color w:val="000000"/>
                <w:lang w:val="fr-FR" w:eastAsia="fr-FR"/>
              </w:rPr>
            </w:pPr>
          </w:p>
          <w:p w14:paraId="7D505471" w14:textId="77777777" w:rsidR="002F7F3F" w:rsidRPr="001E6707" w:rsidRDefault="002F7F3F" w:rsidP="00851DCE">
            <w:pPr>
              <w:jc w:val="both"/>
              <w:rPr>
                <w:rFonts w:asciiTheme="minorHAnsi" w:hAnsiTheme="minorHAnsi" w:cstheme="minorHAnsi"/>
                <w:lang w:val="fr-FR" w:eastAsia="fr-FR"/>
              </w:rPr>
            </w:pPr>
            <w:r w:rsidRPr="001E6707">
              <w:rPr>
                <w:rFonts w:asciiTheme="minorHAnsi" w:eastAsia="Calibri" w:hAnsiTheme="minorHAnsi" w:cstheme="minorHAnsi"/>
                <w:u w:val="single"/>
                <w:lang w:val="fr-FR"/>
              </w:rPr>
              <w:t xml:space="preserve">Conditions </w:t>
            </w:r>
            <w:proofErr w:type="spellStart"/>
            <w:r w:rsidRPr="001E6707">
              <w:rPr>
                <w:rFonts w:asciiTheme="minorHAnsi" w:eastAsia="Calibri" w:hAnsiTheme="minorHAnsi" w:cstheme="minorHAnsi"/>
                <w:u w:val="single"/>
                <w:lang w:val="fr-FR"/>
              </w:rPr>
              <w:t>Agro-écologie</w:t>
            </w:r>
            <w:proofErr w:type="spellEnd"/>
            <w:r w:rsidRPr="001E6707">
              <w:rPr>
                <w:rFonts w:asciiTheme="minorHAnsi" w:eastAsia="Calibri" w:hAnsiTheme="minorHAnsi" w:cstheme="minorHAnsi"/>
                <w:u w:val="single"/>
                <w:lang w:val="fr-FR"/>
              </w:rPr>
              <w:t> :</w:t>
            </w:r>
            <w:r w:rsidRPr="001E6707">
              <w:rPr>
                <w:rFonts w:asciiTheme="minorHAnsi" w:hAnsiTheme="minorHAnsi" w:cstheme="minorHAnsi"/>
                <w:color w:val="000000"/>
                <w:lang w:val="fr-FR" w:eastAsia="fr-FR"/>
              </w:rPr>
              <w:t xml:space="preserve"> A compter de 2024, l’exploitation agricole bénéficie de l’éco-régime niveau 2 ou 3 au titre du premier pilier de la PAC, ou est certifiée ou en conversion en Agriculture Biologique portant sur les productions agricoles concernées par le projet ou, détient une certification HVE ou une autre certification environnementale équivalente sur les 4 critères HVE d’appréciation reconnue par l’autorité de gestion après expertise du comité scientifique Néo-Terra. Ces conditions seront vérifiées au dépôt de la demande. </w:t>
            </w:r>
            <w:r w:rsidRPr="001E6707">
              <w:rPr>
                <w:rFonts w:asciiTheme="minorHAnsi" w:hAnsiTheme="minorHAnsi" w:cstheme="minorHAnsi"/>
                <w:lang w:val="fr-FR" w:eastAsia="fr-FR"/>
              </w:rPr>
              <w:t xml:space="preserve">Des dispositions particulières seront établies pour les nouvelles exploitations agricoles (actives depuis moins de deux années) et donc sans historique des pratiques agricoles antérieures, avec une vérification des conditions </w:t>
            </w:r>
            <w:proofErr w:type="spellStart"/>
            <w:r w:rsidRPr="001E6707">
              <w:rPr>
                <w:rFonts w:asciiTheme="minorHAnsi" w:hAnsiTheme="minorHAnsi" w:cstheme="minorHAnsi"/>
                <w:lang w:val="fr-FR" w:eastAsia="fr-FR"/>
              </w:rPr>
              <w:t>Agro-écologie</w:t>
            </w:r>
            <w:proofErr w:type="spellEnd"/>
            <w:r w:rsidRPr="001E6707">
              <w:rPr>
                <w:rFonts w:asciiTheme="minorHAnsi" w:hAnsiTheme="minorHAnsi" w:cstheme="minorHAnsi"/>
                <w:lang w:val="fr-FR" w:eastAsia="fr-FR"/>
              </w:rPr>
              <w:t xml:space="preserve"> qui sera réalisée au plus tard au moment du solde de l’aide. </w:t>
            </w:r>
          </w:p>
          <w:p w14:paraId="0DC464F2" w14:textId="77777777" w:rsidR="002F7F3F" w:rsidRPr="001E6707" w:rsidRDefault="002F7F3F" w:rsidP="00851DCE">
            <w:pPr>
              <w:pStyle w:val="Paragraphedeliste"/>
              <w:jc w:val="both"/>
              <w:rPr>
                <w:rFonts w:asciiTheme="minorHAnsi" w:eastAsia="Calibri" w:hAnsiTheme="minorHAnsi" w:cstheme="minorHAnsi"/>
                <w:b/>
                <w:lang w:val="fr-FR"/>
              </w:rPr>
            </w:pPr>
          </w:p>
          <w:p w14:paraId="42614EFD" w14:textId="77777777" w:rsidR="002F7F3F" w:rsidRPr="001E6707" w:rsidRDefault="002F7F3F" w:rsidP="00851DCE">
            <w:pPr>
              <w:adjustRightInd w:val="0"/>
              <w:jc w:val="both"/>
              <w:rPr>
                <w:rFonts w:asciiTheme="minorHAnsi" w:hAnsiTheme="minorHAnsi" w:cstheme="minorHAnsi"/>
                <w:color w:val="000000"/>
                <w:u w:val="single"/>
                <w:lang w:val="fr-FR" w:eastAsia="fr-FR"/>
              </w:rPr>
            </w:pPr>
            <w:r w:rsidRPr="001E6707">
              <w:rPr>
                <w:rFonts w:asciiTheme="minorHAnsi" w:hAnsiTheme="minorHAnsi" w:cstheme="minorHAnsi"/>
                <w:color w:val="000000"/>
                <w:u w:val="single"/>
                <w:lang w:val="fr-FR" w:eastAsia="fr-FR"/>
              </w:rPr>
              <w:t>Diagnostic d'exploitation sur les départements de Haute-Vienne, Corrèze et Creuse :</w:t>
            </w:r>
          </w:p>
          <w:p w14:paraId="2A2006CB" w14:textId="77777777" w:rsidR="002F7F3F" w:rsidRPr="001E6707" w:rsidRDefault="002F7F3F" w:rsidP="00851DCE">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Réalisation d'un diagnostic d'exploitation permettant de démontrer la pertinence des investissements proposés car le critère Pente ne peut être préalablement vérifié. Ce diagnostic pourra être réalisé par les Chambres d'Agriculture, par le PNR Plateau Millevaches ou par une association pastorale reconnue (APML), avec appui de l'animateur "Natura 2000" dans les zones concernées.</w:t>
            </w:r>
          </w:p>
          <w:p w14:paraId="29B16D25" w14:textId="77777777" w:rsidR="002F7F3F" w:rsidRPr="001E6707" w:rsidRDefault="002F7F3F" w:rsidP="00851DCE">
            <w:pPr>
              <w:adjustRightInd w:val="0"/>
              <w:jc w:val="both"/>
              <w:rPr>
                <w:rFonts w:asciiTheme="minorHAnsi" w:hAnsiTheme="minorHAnsi" w:cstheme="minorHAnsi"/>
                <w:color w:val="000000"/>
                <w:lang w:val="fr-FR" w:eastAsia="fr-FR"/>
              </w:rPr>
            </w:pPr>
          </w:p>
          <w:p w14:paraId="16B4DE4A" w14:textId="77777777" w:rsidR="002F7F3F" w:rsidRPr="001E6707" w:rsidRDefault="002F7F3F" w:rsidP="00851DCE">
            <w:pPr>
              <w:adjustRightInd w:val="0"/>
              <w:jc w:val="both"/>
              <w:rPr>
                <w:rFonts w:asciiTheme="minorHAnsi" w:hAnsiTheme="minorHAnsi" w:cstheme="minorHAnsi"/>
                <w:color w:val="000000"/>
                <w:u w:val="single"/>
                <w:lang w:val="fr-FR" w:eastAsia="fr-FR"/>
              </w:rPr>
            </w:pPr>
            <w:r w:rsidRPr="001E6707">
              <w:rPr>
                <w:rFonts w:asciiTheme="minorHAnsi" w:hAnsiTheme="minorHAnsi" w:cstheme="minorHAnsi"/>
                <w:color w:val="000000"/>
                <w:u w:val="single"/>
                <w:lang w:val="fr-FR" w:eastAsia="fr-FR"/>
              </w:rPr>
              <w:t>Périodicité des dossiers :</w:t>
            </w:r>
          </w:p>
          <w:p w14:paraId="33C0790D" w14:textId="77777777" w:rsidR="002F7F3F" w:rsidRPr="001E6707" w:rsidRDefault="002F7F3F" w:rsidP="00851DCE">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La périodicité entre deux demandes pour un équipement identique sera de 7 ans après la décision juridique liée à l’acquisition du 1er équipement.</w:t>
            </w:r>
          </w:p>
          <w:p w14:paraId="79F0BC17" w14:textId="77777777" w:rsidR="002F7F3F" w:rsidRPr="001E6707" w:rsidRDefault="002F7F3F" w:rsidP="00851DCE">
            <w:pPr>
              <w:adjustRightInd w:val="0"/>
              <w:jc w:val="both"/>
              <w:rPr>
                <w:rFonts w:asciiTheme="minorHAnsi" w:hAnsiTheme="minorHAnsi" w:cstheme="minorHAnsi"/>
                <w:color w:val="000000"/>
                <w:lang w:val="fr-FR" w:eastAsia="fr-FR"/>
              </w:rPr>
            </w:pPr>
          </w:p>
          <w:p w14:paraId="236CAC6D" w14:textId="77777777" w:rsidR="002F7F3F" w:rsidRPr="001E6707" w:rsidRDefault="002F7F3F" w:rsidP="00851DCE">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Le dépôt d’un nouveau dossier pour une même exploitation agricole (même numéro de SIRET) devra obligatoirement être postérieur à la réception de la demande de solde par le service instructeur du Conseil Régional du dossier </w:t>
            </w:r>
            <w:proofErr w:type="gramStart"/>
            <w:r w:rsidRPr="001E6707">
              <w:rPr>
                <w:rFonts w:asciiTheme="minorHAnsi" w:hAnsiTheme="minorHAnsi" w:cstheme="minorHAnsi"/>
                <w:color w:val="000000"/>
                <w:lang w:val="fr-FR" w:eastAsia="fr-FR"/>
              </w:rPr>
              <w:t>«  Mécanisation</w:t>
            </w:r>
            <w:proofErr w:type="gramEnd"/>
            <w:r w:rsidRPr="001E6707">
              <w:rPr>
                <w:rFonts w:asciiTheme="minorHAnsi" w:hAnsiTheme="minorHAnsi" w:cstheme="minorHAnsi"/>
                <w:color w:val="000000"/>
                <w:lang w:val="fr-FR" w:eastAsia="fr-FR"/>
              </w:rPr>
              <w:t xml:space="preserve"> en zone de montagne » précédent.</w:t>
            </w:r>
          </w:p>
        </w:tc>
      </w:tr>
      <w:tr w:rsidR="002F7F3F" w:rsidRPr="008932B3" w14:paraId="1FFC5262" w14:textId="77777777" w:rsidTr="002F7F3F">
        <w:tc>
          <w:tcPr>
            <w:tcW w:w="2851" w:type="dxa"/>
            <w:shd w:val="clear" w:color="auto" w:fill="auto"/>
          </w:tcPr>
          <w:p w14:paraId="2809847C"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Coûts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éligibles</w:t>
            </w:r>
            <w:proofErr w:type="spellEnd"/>
          </w:p>
        </w:tc>
        <w:tc>
          <w:tcPr>
            <w:tcW w:w="6211" w:type="dxa"/>
            <w:shd w:val="clear" w:color="auto" w:fill="auto"/>
          </w:tcPr>
          <w:p w14:paraId="102C4538" w14:textId="77777777" w:rsidR="002F7F3F" w:rsidRPr="001E6707" w:rsidRDefault="002F7F3F" w:rsidP="002F7F3F">
            <w:pPr>
              <w:pStyle w:val="Paragraphedeliste"/>
              <w:widowControl/>
              <w:numPr>
                <w:ilvl w:val="0"/>
                <w:numId w:val="1"/>
              </w:numPr>
              <w:adjustRightInd w:val="0"/>
              <w:contextualSpacing/>
              <w:rPr>
                <w:rFonts w:asciiTheme="minorHAnsi" w:hAnsiTheme="minorHAnsi" w:cstheme="minorHAnsi"/>
                <w:b/>
                <w:color w:val="000000"/>
                <w:lang w:val="fr-FR" w:eastAsia="fr-FR"/>
              </w:rPr>
            </w:pPr>
            <w:r w:rsidRPr="001E6707">
              <w:rPr>
                <w:rFonts w:asciiTheme="minorHAnsi" w:hAnsiTheme="minorHAnsi" w:cstheme="minorHAnsi"/>
                <w:b/>
                <w:color w:val="000000"/>
                <w:lang w:val="fr-FR" w:eastAsia="fr-FR"/>
              </w:rPr>
              <w:t>Mécanisation en zone de montagne en Pyrénées-Atlantiques</w:t>
            </w:r>
          </w:p>
          <w:p w14:paraId="0D68235A" w14:textId="77777777" w:rsidR="002F7F3F" w:rsidRPr="001E6707" w:rsidRDefault="002F7F3F" w:rsidP="00851DCE">
            <w:pPr>
              <w:pStyle w:val="Paragraphedeliste"/>
              <w:adjustRightInd w:val="0"/>
              <w:rPr>
                <w:rStyle w:val="Marquedecommentaire"/>
                <w:rFonts w:asciiTheme="minorHAnsi" w:hAnsiTheme="minorHAnsi" w:cstheme="minorHAnsi"/>
                <w:b/>
                <w:color w:val="000000"/>
                <w:lang w:val="fr-FR" w:eastAsia="fr-FR"/>
              </w:rPr>
            </w:pPr>
          </w:p>
          <w:p w14:paraId="6F20FB66"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eastAsia="Calibri" w:hAnsiTheme="minorHAnsi" w:cstheme="minorHAnsi"/>
                <w:lang w:val="fr-FR" w:eastAsia="fr-FR"/>
              </w:rPr>
              <w:t>Catégorie 1 : Matériel de traction et de transport</w:t>
            </w:r>
            <w:r w:rsidRPr="001E6707">
              <w:rPr>
                <w:rFonts w:asciiTheme="minorHAnsi" w:hAnsiTheme="minorHAnsi" w:cstheme="minorHAnsi"/>
                <w:color w:val="000000"/>
                <w:lang w:val="fr-FR" w:eastAsia="fr-FR"/>
              </w:rPr>
              <w:t xml:space="preserve"> </w:t>
            </w:r>
          </w:p>
          <w:p w14:paraId="5F5971BD" w14:textId="77777777" w:rsidR="002F7F3F" w:rsidRPr="001E6707" w:rsidRDefault="002F7F3F" w:rsidP="00851DCE">
            <w:pPr>
              <w:adjustRightInd w:val="0"/>
              <w:rPr>
                <w:rFonts w:asciiTheme="minorHAnsi" w:eastAsia="Calibri" w:hAnsiTheme="minorHAnsi" w:cstheme="minorHAnsi"/>
                <w:lang w:val="fr-FR" w:eastAsia="fr-FR"/>
              </w:rPr>
            </w:pPr>
            <w:r w:rsidRPr="001E6707">
              <w:rPr>
                <w:rFonts w:asciiTheme="minorHAnsi" w:eastAsia="Calibri" w:hAnsiTheme="minorHAnsi" w:cstheme="minorHAnsi"/>
                <w:lang w:val="fr-FR" w:eastAsia="fr-FR"/>
              </w:rPr>
              <w:t>Catégorie 2 : Matériel adaptable de fenaison</w:t>
            </w:r>
          </w:p>
          <w:p w14:paraId="056D38E7" w14:textId="77777777" w:rsidR="002F7F3F" w:rsidRPr="001E6707" w:rsidRDefault="002F7F3F" w:rsidP="00851DCE">
            <w:pPr>
              <w:adjustRightInd w:val="0"/>
              <w:rPr>
                <w:rFonts w:asciiTheme="minorHAnsi" w:eastAsia="Calibri" w:hAnsiTheme="minorHAnsi" w:cstheme="minorHAnsi"/>
                <w:lang w:val="fr-FR" w:eastAsia="fr-FR"/>
              </w:rPr>
            </w:pPr>
            <w:r w:rsidRPr="001E6707">
              <w:rPr>
                <w:rFonts w:asciiTheme="minorHAnsi" w:eastAsia="Calibri" w:hAnsiTheme="minorHAnsi" w:cstheme="minorHAnsi"/>
                <w:lang w:val="fr-FR" w:eastAsia="fr-FR"/>
              </w:rPr>
              <w:t>Catégorie 3 : Matériel d’entretien</w:t>
            </w:r>
          </w:p>
          <w:p w14:paraId="4A2CB635" w14:textId="77777777" w:rsidR="002F7F3F" w:rsidRPr="001E6707" w:rsidRDefault="002F7F3F" w:rsidP="00851DCE">
            <w:pPr>
              <w:rPr>
                <w:rFonts w:asciiTheme="minorHAnsi" w:hAnsiTheme="minorHAnsi" w:cstheme="minorHAnsi"/>
                <w:color w:val="000000"/>
                <w:lang w:val="fr-FR" w:eastAsia="fr-FR"/>
              </w:rPr>
            </w:pPr>
            <w:r w:rsidRPr="001E6707">
              <w:rPr>
                <w:rFonts w:asciiTheme="minorHAnsi" w:eastAsia="Calibri" w:hAnsiTheme="minorHAnsi" w:cstheme="minorHAnsi"/>
                <w:lang w:val="fr-FR" w:eastAsia="fr-FR"/>
              </w:rPr>
              <w:t>Catégorie 4 : Matériel attelé ou transporté d’épandage des effluents d’élevage</w:t>
            </w:r>
          </w:p>
          <w:p w14:paraId="3056E340" w14:textId="77777777" w:rsidR="002F7F3F" w:rsidRPr="001E6707" w:rsidRDefault="002F7F3F" w:rsidP="00851DCE">
            <w:pPr>
              <w:adjustRightInd w:val="0"/>
              <w:rPr>
                <w:rFonts w:asciiTheme="minorHAnsi" w:hAnsiTheme="minorHAnsi" w:cstheme="minorHAnsi"/>
                <w:b/>
                <w:color w:val="000000"/>
                <w:lang w:val="fr-FR" w:eastAsia="fr-FR"/>
              </w:rPr>
            </w:pPr>
          </w:p>
          <w:p w14:paraId="1058D97B" w14:textId="77777777" w:rsidR="002F7F3F" w:rsidRPr="001E6707" w:rsidRDefault="002F7F3F" w:rsidP="002F7F3F">
            <w:pPr>
              <w:pStyle w:val="Paragraphedeliste"/>
              <w:widowControl/>
              <w:numPr>
                <w:ilvl w:val="0"/>
                <w:numId w:val="1"/>
              </w:numPr>
              <w:adjustRightInd w:val="0"/>
              <w:contextualSpacing/>
              <w:rPr>
                <w:rFonts w:asciiTheme="minorHAnsi" w:hAnsiTheme="minorHAnsi" w:cstheme="minorHAnsi"/>
                <w:b/>
                <w:color w:val="000000"/>
                <w:lang w:val="fr-FR" w:eastAsia="fr-FR"/>
              </w:rPr>
            </w:pPr>
            <w:r w:rsidRPr="001E6707">
              <w:rPr>
                <w:rFonts w:asciiTheme="minorHAnsi" w:hAnsiTheme="minorHAnsi" w:cstheme="minorHAnsi"/>
                <w:b/>
                <w:color w:val="000000"/>
                <w:lang w:val="fr-FR" w:eastAsia="fr-FR"/>
              </w:rPr>
              <w:t>Mécanisation en zone de montagne en Corrèze, Creuse et Haute-Vienne :</w:t>
            </w:r>
          </w:p>
          <w:p w14:paraId="3B9C053F" w14:textId="77777777" w:rsidR="002F7F3F" w:rsidRPr="001E6707" w:rsidRDefault="002F7F3F" w:rsidP="00851DCE">
            <w:pPr>
              <w:pStyle w:val="Paragraphedeliste"/>
              <w:adjustRightInd w:val="0"/>
              <w:rPr>
                <w:rFonts w:asciiTheme="minorHAnsi" w:hAnsiTheme="minorHAnsi" w:cstheme="minorHAnsi"/>
                <w:b/>
                <w:color w:val="000000"/>
                <w:lang w:val="fr-FR" w:eastAsia="fr-FR"/>
              </w:rPr>
            </w:pPr>
          </w:p>
          <w:p w14:paraId="6B821940" w14:textId="77777777" w:rsidR="002F7F3F" w:rsidRPr="001E6707" w:rsidRDefault="002F7F3F" w:rsidP="00851DCE">
            <w:pPr>
              <w:adjustRightInd w:val="0"/>
              <w:rPr>
                <w:rFonts w:asciiTheme="minorHAnsi" w:eastAsia="Calibri" w:hAnsiTheme="minorHAnsi" w:cstheme="minorHAnsi"/>
                <w:lang w:val="fr-FR" w:eastAsia="fr-FR"/>
              </w:rPr>
            </w:pPr>
            <w:r w:rsidRPr="001E6707">
              <w:rPr>
                <w:rFonts w:asciiTheme="minorHAnsi" w:eastAsia="Calibri" w:hAnsiTheme="minorHAnsi" w:cstheme="minorHAnsi"/>
                <w:lang w:val="fr-FR" w:eastAsia="fr-FR"/>
              </w:rPr>
              <w:t>Catégorie 1 : Ouverture des milieux (maintien activité sécurisée / portance sols humides / reconquête milieux / exploitation)</w:t>
            </w:r>
          </w:p>
          <w:p w14:paraId="790FA482" w14:textId="77777777" w:rsidR="002F7F3F" w:rsidRPr="001E6707" w:rsidRDefault="002F7F3F" w:rsidP="00851DCE">
            <w:pPr>
              <w:adjustRightInd w:val="0"/>
              <w:rPr>
                <w:rFonts w:asciiTheme="minorHAnsi" w:eastAsia="Calibri" w:hAnsiTheme="minorHAnsi" w:cstheme="minorHAnsi"/>
                <w:lang w:val="fr-FR" w:eastAsia="fr-FR"/>
              </w:rPr>
            </w:pPr>
          </w:p>
          <w:p w14:paraId="6826FD98" w14:textId="77777777" w:rsidR="002F7F3F" w:rsidRPr="001E6707" w:rsidRDefault="002F7F3F" w:rsidP="00851DCE">
            <w:pPr>
              <w:adjustRightInd w:val="0"/>
              <w:rPr>
                <w:rFonts w:asciiTheme="minorHAnsi" w:eastAsia="Calibri" w:hAnsiTheme="minorHAnsi" w:cstheme="minorHAnsi"/>
                <w:bCs/>
                <w:lang w:val="fr-FR" w:eastAsia="fr-FR"/>
              </w:rPr>
            </w:pPr>
            <w:r w:rsidRPr="001E6707">
              <w:rPr>
                <w:rFonts w:asciiTheme="minorHAnsi" w:eastAsia="Calibri" w:hAnsiTheme="minorHAnsi" w:cstheme="minorHAnsi"/>
                <w:lang w:val="fr-FR" w:eastAsia="fr-FR"/>
              </w:rPr>
              <w:t xml:space="preserve">Catégorie 2 : </w:t>
            </w:r>
            <w:r w:rsidRPr="001E6707">
              <w:rPr>
                <w:rFonts w:asciiTheme="minorHAnsi" w:eastAsia="Calibri" w:hAnsiTheme="minorHAnsi" w:cstheme="minorHAnsi"/>
                <w:bCs/>
                <w:lang w:val="fr-FR" w:eastAsia="fr-FR"/>
              </w:rPr>
              <w:t>Clôture des parcelles accidentées ou pentues</w:t>
            </w:r>
          </w:p>
          <w:p w14:paraId="3ADB9F7D" w14:textId="77777777" w:rsidR="002F7F3F" w:rsidRPr="001E6707" w:rsidRDefault="002F7F3F" w:rsidP="00851DCE">
            <w:pPr>
              <w:adjustRightInd w:val="0"/>
              <w:rPr>
                <w:rFonts w:asciiTheme="minorHAnsi" w:eastAsia="Calibri" w:hAnsiTheme="minorHAnsi" w:cstheme="minorHAnsi"/>
                <w:bCs/>
                <w:lang w:val="fr-FR" w:eastAsia="fr-FR"/>
              </w:rPr>
            </w:pPr>
          </w:p>
          <w:p w14:paraId="16824E23" w14:textId="77777777" w:rsidR="002F7F3F" w:rsidRPr="001E6707" w:rsidRDefault="002F7F3F" w:rsidP="00851DCE">
            <w:pPr>
              <w:adjustRightInd w:val="0"/>
              <w:rPr>
                <w:rFonts w:asciiTheme="minorHAnsi" w:hAnsiTheme="minorHAnsi" w:cstheme="minorHAnsi"/>
                <w:b/>
                <w:color w:val="000000"/>
                <w:lang w:val="fr-FR" w:eastAsia="fr-FR"/>
              </w:rPr>
            </w:pPr>
            <w:r w:rsidRPr="001E6707">
              <w:rPr>
                <w:rFonts w:asciiTheme="minorHAnsi" w:eastAsia="Calibri" w:hAnsiTheme="minorHAnsi" w:cstheme="minorHAnsi"/>
                <w:lang w:val="fr-FR" w:eastAsia="fr-FR"/>
              </w:rPr>
              <w:t xml:space="preserve">Catégorie 3 : </w:t>
            </w:r>
            <w:r w:rsidRPr="001E6707">
              <w:rPr>
                <w:rFonts w:asciiTheme="minorHAnsi" w:eastAsia="Calibri" w:hAnsiTheme="minorHAnsi" w:cstheme="minorHAnsi"/>
                <w:bCs/>
                <w:lang w:val="fr-FR" w:eastAsia="fr-FR"/>
              </w:rPr>
              <w:t>Gestion de l’activité de pâturage / éloignement / conditions climatiques</w:t>
            </w:r>
          </w:p>
        </w:tc>
      </w:tr>
      <w:tr w:rsidR="002F7F3F" w:rsidRPr="008932B3" w14:paraId="7A8603FE" w14:textId="77777777" w:rsidTr="002F7F3F">
        <w:tc>
          <w:tcPr>
            <w:tcW w:w="2851" w:type="dxa"/>
            <w:shd w:val="clear" w:color="auto" w:fill="auto"/>
          </w:tcPr>
          <w:p w14:paraId="2DF13FE3"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lastRenderedPageBreak/>
              <w:t>Inéligibilités</w:t>
            </w:r>
            <w:proofErr w:type="spellEnd"/>
          </w:p>
        </w:tc>
        <w:tc>
          <w:tcPr>
            <w:tcW w:w="6211" w:type="dxa"/>
            <w:shd w:val="clear" w:color="auto" w:fill="auto"/>
          </w:tcPr>
          <w:p w14:paraId="1B2CA97B"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la TVA,</w:t>
            </w:r>
          </w:p>
          <w:p w14:paraId="1B6E8823"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la maitrise d’œuvre,</w:t>
            </w:r>
          </w:p>
          <w:p w14:paraId="7A695FE2"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les consommables et les jetables,</w:t>
            </w:r>
          </w:p>
          <w:p w14:paraId="379051A5"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les frais de montage de dossier,</w:t>
            </w:r>
          </w:p>
          <w:p w14:paraId="3698FA30"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les investissements destinés au stockage de matériel agricole,</w:t>
            </w:r>
          </w:p>
          <w:p w14:paraId="25C2D5B6" w14:textId="77777777" w:rsidR="002F7F3F" w:rsidRPr="001E6707" w:rsidRDefault="002F7F3F" w:rsidP="00851DCE">
            <w:pPr>
              <w:adjustRightInd w:val="0"/>
              <w:rPr>
                <w:rFonts w:asciiTheme="minorHAnsi" w:hAnsiTheme="minorHAnsi" w:cstheme="minorHAnsi"/>
                <w:bCs/>
                <w:color w:val="000000"/>
                <w:lang w:val="fr-FR" w:eastAsia="fr-FR"/>
              </w:rPr>
            </w:pPr>
            <w:r w:rsidRPr="001E6707">
              <w:rPr>
                <w:rFonts w:asciiTheme="minorHAnsi" w:hAnsiTheme="minorHAnsi" w:cstheme="minorHAnsi"/>
                <w:color w:val="000000"/>
                <w:lang w:val="fr-FR" w:eastAsia="fr-FR"/>
              </w:rPr>
              <w:t>- l</w:t>
            </w:r>
            <w:r w:rsidRPr="001E6707">
              <w:rPr>
                <w:rFonts w:asciiTheme="minorHAnsi" w:hAnsiTheme="minorHAnsi" w:cstheme="minorHAnsi"/>
                <w:bCs/>
                <w:color w:val="000000"/>
                <w:lang w:val="fr-FR" w:eastAsia="fr-FR"/>
              </w:rPr>
              <w:t xml:space="preserve">es </w:t>
            </w:r>
            <w:r w:rsidRPr="001E6707">
              <w:rPr>
                <w:rFonts w:asciiTheme="minorHAnsi" w:hAnsiTheme="minorHAnsi" w:cstheme="minorHAnsi"/>
                <w:b/>
                <w:bCs/>
                <w:color w:val="000000"/>
                <w:lang w:val="fr-FR" w:eastAsia="fr-FR"/>
              </w:rPr>
              <w:t>équipements d’occasion et reconditionnés</w:t>
            </w:r>
            <w:r w:rsidRPr="001E6707">
              <w:rPr>
                <w:rFonts w:asciiTheme="minorHAnsi" w:hAnsiTheme="minorHAnsi" w:cstheme="minorHAnsi"/>
                <w:bCs/>
                <w:color w:val="000000"/>
                <w:lang w:val="fr-FR" w:eastAsia="fr-FR"/>
              </w:rPr>
              <w:t xml:space="preserve">, </w:t>
            </w:r>
          </w:p>
          <w:p w14:paraId="3E8D6B87" w14:textId="77777777" w:rsidR="002F7F3F" w:rsidRPr="001E6707" w:rsidRDefault="002F7F3F" w:rsidP="00851DCE">
            <w:pPr>
              <w:adjustRightInd w:val="0"/>
              <w:rPr>
                <w:rFonts w:asciiTheme="minorHAnsi" w:hAnsiTheme="minorHAnsi" w:cstheme="minorHAnsi"/>
                <w:bCs/>
                <w:color w:val="000000"/>
                <w:lang w:val="fr-FR" w:eastAsia="fr-FR"/>
              </w:rPr>
            </w:pPr>
            <w:r w:rsidRPr="001E6707">
              <w:rPr>
                <w:rFonts w:asciiTheme="minorHAnsi" w:hAnsiTheme="minorHAnsi" w:cstheme="minorHAnsi"/>
                <w:bCs/>
                <w:color w:val="000000"/>
                <w:lang w:val="fr-FR" w:eastAsia="fr-FR"/>
              </w:rPr>
              <w:t>- l</w:t>
            </w:r>
            <w:r w:rsidRPr="001E6707">
              <w:rPr>
                <w:rFonts w:asciiTheme="minorHAnsi" w:hAnsiTheme="minorHAnsi" w:cstheme="minorHAnsi"/>
                <w:color w:val="000000"/>
                <w:lang w:val="fr-FR" w:eastAsia="fr-FR"/>
              </w:rPr>
              <w:t>es investissements</w:t>
            </w:r>
            <w:r w:rsidRPr="001E6707">
              <w:rPr>
                <w:rFonts w:asciiTheme="minorHAnsi" w:hAnsiTheme="minorHAnsi" w:cstheme="minorHAnsi"/>
                <w:bCs/>
                <w:color w:val="000000"/>
                <w:lang w:val="fr-FR" w:eastAsia="fr-FR"/>
              </w:rPr>
              <w:t xml:space="preserve"> qui concernent des opérations de renouvellement ou de remplacement à l’identique,</w:t>
            </w:r>
          </w:p>
          <w:p w14:paraId="5262EDAA" w14:textId="77777777" w:rsidR="002F7F3F" w:rsidRPr="001E6707" w:rsidRDefault="002F7F3F" w:rsidP="00851DCE">
            <w:pPr>
              <w:adjustRightInd w:val="0"/>
              <w:rPr>
                <w:rFonts w:asciiTheme="minorHAnsi" w:hAnsiTheme="minorHAnsi" w:cstheme="minorHAnsi"/>
                <w:bCs/>
                <w:color w:val="000000"/>
                <w:lang w:val="fr-FR" w:eastAsia="fr-FR"/>
              </w:rPr>
            </w:pPr>
            <w:r w:rsidRPr="001E6707">
              <w:rPr>
                <w:rFonts w:asciiTheme="minorHAnsi" w:hAnsiTheme="minorHAnsi" w:cstheme="minorHAnsi"/>
                <w:bCs/>
                <w:color w:val="000000"/>
                <w:lang w:val="fr-FR" w:eastAsia="fr-FR"/>
              </w:rPr>
              <w:t>- les investissements financés par un crédit-bail ou une location financière,</w:t>
            </w:r>
          </w:p>
          <w:p w14:paraId="38446182" w14:textId="77777777" w:rsidR="002F7F3F" w:rsidRPr="001E6707" w:rsidRDefault="002F7F3F" w:rsidP="00851DCE">
            <w:pPr>
              <w:shd w:val="clear" w:color="auto" w:fill="FFFFFF"/>
              <w:jc w:val="both"/>
              <w:rPr>
                <w:rFonts w:asciiTheme="minorHAnsi" w:hAnsiTheme="minorHAnsi" w:cstheme="minorHAnsi"/>
                <w:lang w:val="fr-FR"/>
              </w:rPr>
            </w:pPr>
            <w:r w:rsidRPr="001E6707">
              <w:rPr>
                <w:rFonts w:asciiTheme="minorHAnsi" w:eastAsia="Calibri" w:hAnsiTheme="minorHAnsi" w:cstheme="minorHAnsi"/>
                <w:bCs/>
                <w:lang w:val="fr-FR"/>
              </w:rPr>
              <w:t xml:space="preserve">- </w:t>
            </w:r>
            <w:r w:rsidRPr="001E6707">
              <w:rPr>
                <w:rFonts w:asciiTheme="minorHAnsi" w:hAnsiTheme="minorHAnsi" w:cstheme="minorHAnsi"/>
                <w:lang w:val="fr-FR"/>
              </w:rPr>
              <w:t>les investissements financés par délégation de paiement.</w:t>
            </w:r>
          </w:p>
          <w:p w14:paraId="325D8E65" w14:textId="77777777" w:rsidR="002F7F3F" w:rsidRPr="001E6707" w:rsidRDefault="002F7F3F" w:rsidP="00851DCE">
            <w:pPr>
              <w:shd w:val="clear" w:color="auto" w:fill="FFFFFF"/>
              <w:jc w:val="both"/>
              <w:rPr>
                <w:rFonts w:asciiTheme="minorHAnsi" w:hAnsiTheme="minorHAnsi" w:cstheme="minorHAnsi"/>
                <w:lang w:val="fr-FR"/>
              </w:rPr>
            </w:pPr>
          </w:p>
          <w:p w14:paraId="4A2C8E2F" w14:textId="77777777" w:rsidR="002F7F3F" w:rsidRPr="001E6707" w:rsidRDefault="002F7F3F" w:rsidP="00851DCE">
            <w:pPr>
              <w:jc w:val="both"/>
              <w:rPr>
                <w:rFonts w:asciiTheme="minorHAnsi" w:eastAsia="Calibri" w:hAnsiTheme="minorHAnsi" w:cstheme="minorHAnsi"/>
                <w:lang w:val="fr-FR"/>
              </w:rPr>
            </w:pPr>
            <w:r w:rsidRPr="001E6707">
              <w:rPr>
                <w:rFonts w:asciiTheme="minorHAnsi" w:eastAsia="Calibri" w:hAnsiTheme="minorHAnsi" w:cstheme="minorHAnsi"/>
                <w:lang w:val="fr-FR"/>
              </w:rPr>
              <w:t xml:space="preserve">Les acquisitions de matériel </w:t>
            </w:r>
            <w:r w:rsidRPr="001E6707">
              <w:rPr>
                <w:rFonts w:asciiTheme="minorHAnsi" w:eastAsia="Calibri" w:hAnsiTheme="minorHAnsi" w:cstheme="minorHAnsi"/>
                <w:b/>
                <w:lang w:val="fr-FR"/>
              </w:rPr>
              <w:t>en copropriété</w:t>
            </w:r>
            <w:r w:rsidRPr="001E6707">
              <w:rPr>
                <w:rFonts w:asciiTheme="minorHAnsi" w:eastAsia="Calibri" w:hAnsiTheme="minorHAnsi" w:cstheme="minorHAnsi"/>
                <w:lang w:val="fr-FR"/>
              </w:rPr>
              <w:t xml:space="preserve"> sont éligibles avec une convention de partenariat signée entre le chef de file et les autres partenaires.</w:t>
            </w:r>
          </w:p>
          <w:p w14:paraId="2A578495" w14:textId="77777777" w:rsidR="002F7F3F" w:rsidRPr="001E6707" w:rsidRDefault="002F7F3F" w:rsidP="00851DCE">
            <w:pPr>
              <w:adjustRightInd w:val="0"/>
              <w:rPr>
                <w:rFonts w:asciiTheme="minorHAnsi" w:hAnsiTheme="minorHAnsi" w:cstheme="minorHAnsi"/>
                <w:color w:val="000000"/>
                <w:lang w:val="fr-FR" w:eastAsia="fr-FR"/>
              </w:rPr>
            </w:pPr>
          </w:p>
        </w:tc>
      </w:tr>
      <w:tr w:rsidR="002F7F3F" w:rsidRPr="008932B3" w14:paraId="7D861414" w14:textId="77777777" w:rsidTr="002F7F3F">
        <w:tc>
          <w:tcPr>
            <w:tcW w:w="2851" w:type="dxa"/>
            <w:shd w:val="clear" w:color="auto" w:fill="auto"/>
          </w:tcPr>
          <w:p w14:paraId="02542C80"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Eligibilité</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temporelle</w:t>
            </w:r>
            <w:proofErr w:type="spellEnd"/>
            <w:r w:rsidRPr="001E6707">
              <w:rPr>
                <w:rFonts w:asciiTheme="minorHAnsi" w:hAnsiTheme="minorHAnsi" w:cstheme="minorHAnsi"/>
                <w:color w:val="1F497D"/>
                <w:lang w:eastAsia="fr-FR"/>
              </w:rPr>
              <w:t xml:space="preserve"> des </w:t>
            </w:r>
            <w:proofErr w:type="spellStart"/>
            <w:r w:rsidRPr="001E6707">
              <w:rPr>
                <w:rFonts w:asciiTheme="minorHAnsi" w:hAnsiTheme="minorHAnsi" w:cstheme="minorHAnsi"/>
                <w:color w:val="1F497D"/>
                <w:lang w:eastAsia="fr-FR"/>
              </w:rPr>
              <w:t>dépenses</w:t>
            </w:r>
            <w:proofErr w:type="spellEnd"/>
            <w:r w:rsidRPr="001E6707">
              <w:rPr>
                <w:rFonts w:asciiTheme="minorHAnsi" w:hAnsiTheme="minorHAnsi" w:cstheme="minorHAnsi"/>
                <w:color w:val="1F497D"/>
                <w:lang w:eastAsia="fr-FR"/>
              </w:rPr>
              <w:t xml:space="preserve"> </w:t>
            </w:r>
          </w:p>
        </w:tc>
        <w:tc>
          <w:tcPr>
            <w:tcW w:w="6211" w:type="dxa"/>
            <w:shd w:val="clear" w:color="auto" w:fill="auto"/>
          </w:tcPr>
          <w:p w14:paraId="723BDC79" w14:textId="77777777" w:rsidR="002F7F3F" w:rsidRPr="0092333D" w:rsidRDefault="002F7F3F" w:rsidP="00851DCE">
            <w:pPr>
              <w:adjustRightInd w:val="0"/>
              <w:rPr>
                <w:rFonts w:asciiTheme="minorHAnsi" w:hAnsiTheme="minorHAnsi" w:cstheme="minorHAnsi"/>
                <w:color w:val="000000"/>
                <w:lang w:val="fr-FR" w:eastAsia="fr-FR"/>
              </w:rPr>
            </w:pPr>
            <w:r w:rsidRPr="0092333D">
              <w:rPr>
                <w:rFonts w:asciiTheme="minorHAnsi" w:hAnsiTheme="minorHAnsi" w:cstheme="minorHAnsi"/>
                <w:color w:val="000000"/>
                <w:lang w:val="fr-FR" w:eastAsia="fr-FR"/>
              </w:rPr>
              <w:t>Dépenses éligibles à partir du dépôt de la demande d’aide, après parution de l’appel à projets</w:t>
            </w:r>
          </w:p>
        </w:tc>
      </w:tr>
      <w:tr w:rsidR="002F7F3F" w:rsidRPr="008932B3" w14:paraId="3101CD2D" w14:textId="77777777" w:rsidTr="002F7F3F">
        <w:tc>
          <w:tcPr>
            <w:tcW w:w="2851" w:type="dxa"/>
            <w:shd w:val="clear" w:color="auto" w:fill="auto"/>
          </w:tcPr>
          <w:p w14:paraId="1BBD396E"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Eligibilité</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géographique</w:t>
            </w:r>
            <w:proofErr w:type="spellEnd"/>
          </w:p>
        </w:tc>
        <w:tc>
          <w:tcPr>
            <w:tcW w:w="6211" w:type="dxa"/>
            <w:shd w:val="clear" w:color="auto" w:fill="auto"/>
          </w:tcPr>
          <w:p w14:paraId="4550F5AC"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u w:val="single"/>
                <w:lang w:val="fr-FR" w:eastAsia="fr-FR"/>
              </w:rPr>
              <w:t>Siège d’exploitation :</w:t>
            </w:r>
            <w:r w:rsidRPr="001E6707">
              <w:rPr>
                <w:rFonts w:asciiTheme="minorHAnsi" w:hAnsiTheme="minorHAnsi" w:cstheme="minorHAnsi"/>
                <w:color w:val="000000"/>
                <w:lang w:val="fr-FR" w:eastAsia="fr-FR"/>
              </w:rPr>
              <w:t xml:space="preserve"> Sur le territoire Nouvelle-Aquitaine :</w:t>
            </w:r>
          </w:p>
          <w:p w14:paraId="4DED909D"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 </w:t>
            </w:r>
          </w:p>
          <w:p w14:paraId="2DD1BBAA" w14:textId="77777777" w:rsidR="002F7F3F" w:rsidRPr="001E6707" w:rsidRDefault="002F7F3F" w:rsidP="00851DCE">
            <w:pPr>
              <w:adjustRightInd w:val="0"/>
              <w:rPr>
                <w:rFonts w:ascii="Calibri" w:hAnsi="Calibri" w:cs="Calibri"/>
                <w:color w:val="000000"/>
                <w:lang w:val="fr-FR" w:eastAsia="fr-FR"/>
              </w:rPr>
            </w:pPr>
            <w:r w:rsidRPr="001E6707">
              <w:rPr>
                <w:rFonts w:asciiTheme="minorHAnsi" w:hAnsiTheme="minorHAnsi" w:cstheme="minorHAnsi"/>
                <w:color w:val="000000"/>
                <w:lang w:val="fr-FR" w:eastAsia="fr-FR"/>
              </w:rPr>
              <w:t xml:space="preserve">– </w:t>
            </w:r>
            <w:r w:rsidRPr="001E6707">
              <w:rPr>
                <w:rFonts w:ascii="Calibri" w:hAnsi="Calibri" w:cs="Calibri"/>
                <w:b/>
                <w:color w:val="000000"/>
                <w:lang w:val="fr-FR" w:eastAsia="fr-FR"/>
              </w:rPr>
              <w:t xml:space="preserve">dans le département des Pyrénées-Atlantiques, </w:t>
            </w:r>
            <w:r w:rsidRPr="001E6707">
              <w:rPr>
                <w:rFonts w:ascii="Calibri" w:hAnsi="Calibri" w:cs="Calibri"/>
                <w:color w:val="000000"/>
                <w:lang w:val="fr-FR" w:eastAsia="fr-FR"/>
              </w:rPr>
              <w:t xml:space="preserve">le siège d’exploitation du demandeur doit se situer en </w:t>
            </w:r>
            <w:r w:rsidRPr="001E6707">
              <w:rPr>
                <w:rFonts w:ascii="Calibri" w:hAnsi="Calibri" w:cs="Calibri"/>
                <w:b/>
                <w:color w:val="000000"/>
                <w:lang w:val="fr-FR" w:eastAsia="fr-FR"/>
              </w:rPr>
              <w:t>zone de montagne</w:t>
            </w:r>
            <w:r w:rsidRPr="001E6707">
              <w:rPr>
                <w:rFonts w:ascii="Calibri" w:hAnsi="Calibri" w:cs="Calibri"/>
                <w:color w:val="000000"/>
                <w:lang w:val="fr-FR" w:eastAsia="fr-FR"/>
              </w:rPr>
              <w:t xml:space="preserve"> (zones agricoles défavorisées de montagne définies par arrêté préfectoral</w:t>
            </w:r>
            <w:r w:rsidRPr="006A7835">
              <w:rPr>
                <w:rFonts w:ascii="Calibri" w:hAnsi="Calibri" w:cs="Calibri"/>
                <w:color w:val="000000"/>
                <w:sz w:val="24"/>
                <w:szCs w:val="24"/>
                <w:lang w:val="fr-FR" w:eastAsia="fr-FR"/>
              </w:rPr>
              <w:t xml:space="preserve"> </w:t>
            </w:r>
            <w:r w:rsidRPr="006A7835">
              <w:rPr>
                <w:rFonts w:ascii="Calibri" w:hAnsi="Calibri" w:cs="Calibri"/>
                <w:color w:val="000000"/>
                <w:lang w:val="fr-FR" w:eastAsia="fr-FR"/>
              </w:rPr>
              <w:t>dans le cadre du 1er pilier de la PAC</w:t>
            </w:r>
            <w:r w:rsidRPr="0092333D">
              <w:rPr>
                <w:rFonts w:ascii="Calibri" w:hAnsi="Calibri" w:cs="Calibri"/>
                <w:color w:val="000000"/>
                <w:lang w:val="fr-FR" w:eastAsia="fr-FR"/>
              </w:rPr>
              <w:t>)</w:t>
            </w:r>
          </w:p>
          <w:p w14:paraId="6219406C" w14:textId="77777777" w:rsidR="002F7F3F" w:rsidRPr="0092333D" w:rsidRDefault="002F7F3F" w:rsidP="00851DCE">
            <w:pPr>
              <w:adjustRightInd w:val="0"/>
              <w:rPr>
                <w:rFonts w:ascii="Calibri" w:hAnsi="Calibri" w:cs="Calibri"/>
                <w:color w:val="000000"/>
                <w:lang w:val="fr-FR" w:eastAsia="fr-FR"/>
              </w:rPr>
            </w:pPr>
            <w:r w:rsidRPr="001E6707">
              <w:rPr>
                <w:rFonts w:ascii="Calibri" w:hAnsi="Calibri" w:cs="Calibri"/>
                <w:color w:val="000000"/>
                <w:lang w:val="fr-FR" w:eastAsia="fr-FR"/>
              </w:rPr>
              <w:t xml:space="preserve">– </w:t>
            </w:r>
            <w:r w:rsidRPr="001E6707">
              <w:rPr>
                <w:rFonts w:ascii="Calibri" w:hAnsi="Calibri" w:cs="Calibri"/>
                <w:b/>
                <w:color w:val="000000"/>
                <w:lang w:val="fr-FR" w:eastAsia="fr-FR"/>
              </w:rPr>
              <w:t xml:space="preserve">dans les départements de Haute-Vienne, de Creuse et de Corrèze, </w:t>
            </w:r>
            <w:r w:rsidRPr="001E6707">
              <w:rPr>
                <w:rFonts w:ascii="Calibri" w:hAnsi="Calibri" w:cs="Calibri"/>
                <w:color w:val="000000"/>
                <w:lang w:val="fr-FR" w:eastAsia="fr-FR"/>
              </w:rPr>
              <w:t xml:space="preserve">le siège d’exploitation du demandeur doit se situer en </w:t>
            </w:r>
            <w:r w:rsidRPr="001E6707">
              <w:rPr>
                <w:rFonts w:ascii="Calibri" w:hAnsi="Calibri" w:cs="Calibri"/>
                <w:b/>
                <w:color w:val="000000"/>
                <w:lang w:val="fr-FR" w:eastAsia="fr-FR"/>
              </w:rPr>
              <w:t>zone de montagne</w:t>
            </w:r>
            <w:r w:rsidRPr="001E6707">
              <w:rPr>
                <w:rFonts w:ascii="Calibri" w:hAnsi="Calibri" w:cs="Calibri"/>
                <w:color w:val="000000"/>
                <w:lang w:val="fr-FR" w:eastAsia="fr-FR"/>
              </w:rPr>
              <w:t xml:space="preserve"> (zones agricoles défavorisées de montagne définies par des arrêtés préfectoraux par départements</w:t>
            </w:r>
            <w:r w:rsidRPr="006A7835">
              <w:rPr>
                <w:rFonts w:ascii="Calibri" w:hAnsi="Calibri" w:cs="Calibri"/>
                <w:color w:val="000000"/>
                <w:sz w:val="24"/>
                <w:szCs w:val="24"/>
                <w:lang w:val="fr-FR" w:eastAsia="fr-FR"/>
              </w:rPr>
              <w:t xml:space="preserve"> </w:t>
            </w:r>
            <w:r w:rsidRPr="006A7835">
              <w:rPr>
                <w:rFonts w:ascii="Calibri" w:hAnsi="Calibri" w:cs="Calibri"/>
                <w:color w:val="000000"/>
                <w:lang w:val="fr-FR" w:eastAsia="fr-FR"/>
              </w:rPr>
              <w:t>dans le cadre du 1er pilier de la PAC</w:t>
            </w:r>
            <w:r w:rsidRPr="0092333D">
              <w:rPr>
                <w:rFonts w:ascii="Calibri" w:hAnsi="Calibri" w:cs="Calibri"/>
                <w:color w:val="000000"/>
                <w:lang w:val="fr-FR" w:eastAsia="fr-FR"/>
              </w:rPr>
              <w:t>)</w:t>
            </w:r>
          </w:p>
          <w:p w14:paraId="7DC95D00" w14:textId="77777777" w:rsidR="002F7F3F" w:rsidRPr="001E6707" w:rsidRDefault="002F7F3F" w:rsidP="00851DCE">
            <w:pPr>
              <w:adjustRightInd w:val="0"/>
              <w:rPr>
                <w:rFonts w:asciiTheme="minorHAnsi" w:hAnsiTheme="minorHAnsi" w:cstheme="minorHAnsi"/>
                <w:color w:val="000000"/>
                <w:lang w:val="fr-FR" w:eastAsia="fr-FR"/>
              </w:rPr>
            </w:pPr>
          </w:p>
        </w:tc>
      </w:tr>
      <w:tr w:rsidR="002F7F3F" w:rsidRPr="008932B3" w14:paraId="250F645D" w14:textId="77777777" w:rsidTr="002F7F3F">
        <w:tc>
          <w:tcPr>
            <w:tcW w:w="2851" w:type="dxa"/>
            <w:shd w:val="clear" w:color="auto" w:fill="auto"/>
          </w:tcPr>
          <w:p w14:paraId="2D28FAB6" w14:textId="77777777" w:rsidR="002F7F3F" w:rsidRPr="001E6707" w:rsidRDefault="002F7F3F" w:rsidP="00851DCE">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Ligne de partage PSR/autres dispositifs régionaux ou nationaux</w:t>
            </w:r>
          </w:p>
        </w:tc>
        <w:tc>
          <w:tcPr>
            <w:tcW w:w="6211" w:type="dxa"/>
            <w:shd w:val="clear" w:color="auto" w:fill="auto"/>
          </w:tcPr>
          <w:p w14:paraId="1826D6E9"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lang w:val="fr-FR" w:eastAsia="fr-FR"/>
              </w:rPr>
              <w:t>Aucune autre aide publique ne soutient les actions décrites dans cette fiche, il n’y a pas de risque de double financement.</w:t>
            </w:r>
          </w:p>
        </w:tc>
      </w:tr>
      <w:tr w:rsidR="002F7F3F" w:rsidRPr="008932B3" w14:paraId="5BC9B682" w14:textId="77777777" w:rsidTr="002F7F3F">
        <w:tc>
          <w:tcPr>
            <w:tcW w:w="2851" w:type="dxa"/>
            <w:shd w:val="clear" w:color="auto" w:fill="auto"/>
          </w:tcPr>
          <w:p w14:paraId="5A8A14B5"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Ligne</w:t>
            </w:r>
            <w:proofErr w:type="spellEnd"/>
            <w:r w:rsidRPr="001E6707">
              <w:rPr>
                <w:rFonts w:asciiTheme="minorHAnsi" w:hAnsiTheme="minorHAnsi" w:cstheme="minorHAnsi"/>
                <w:color w:val="1F497D"/>
                <w:lang w:eastAsia="fr-FR"/>
              </w:rPr>
              <w:t xml:space="preserve"> de partage FESI</w:t>
            </w:r>
          </w:p>
        </w:tc>
        <w:tc>
          <w:tcPr>
            <w:tcW w:w="6211" w:type="dxa"/>
            <w:shd w:val="clear" w:color="auto" w:fill="auto"/>
          </w:tcPr>
          <w:p w14:paraId="7E49442F" w14:textId="77777777" w:rsidR="002F7F3F" w:rsidRPr="001E6707" w:rsidRDefault="002F7F3F" w:rsidP="00851DCE">
            <w:pPr>
              <w:rPr>
                <w:rFonts w:asciiTheme="minorHAnsi" w:hAnsiTheme="minorHAnsi" w:cstheme="minorHAnsi"/>
                <w:color w:val="000000"/>
                <w:lang w:val="fr-FR" w:eastAsia="fr-FR"/>
              </w:rPr>
            </w:pPr>
            <w:r w:rsidRPr="001E6707">
              <w:rPr>
                <w:rFonts w:asciiTheme="minorHAnsi" w:hAnsiTheme="minorHAnsi" w:cstheme="minorHAnsi"/>
                <w:lang w:val="fr-FR" w:eastAsia="fr-FR"/>
              </w:rPr>
              <w:t>Les GAL ne pourront pas mobiliser leur enveloppe LEADER pour des typologies d’actions éligibles au présent dispositif.</w:t>
            </w:r>
          </w:p>
        </w:tc>
      </w:tr>
      <w:tr w:rsidR="002F7F3F" w:rsidRPr="001E6707" w14:paraId="0C438128" w14:textId="77777777" w:rsidTr="002F7F3F">
        <w:tc>
          <w:tcPr>
            <w:tcW w:w="9062" w:type="dxa"/>
            <w:gridSpan w:val="2"/>
            <w:shd w:val="clear" w:color="auto" w:fill="auto"/>
          </w:tcPr>
          <w:p w14:paraId="646B87BE"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b/>
                <w:color w:val="1F497D"/>
                <w:lang w:eastAsia="fr-FR"/>
              </w:rPr>
              <w:t xml:space="preserve">3. </w:t>
            </w:r>
            <w:proofErr w:type="spellStart"/>
            <w:r w:rsidRPr="001E6707">
              <w:rPr>
                <w:rFonts w:asciiTheme="minorHAnsi" w:hAnsiTheme="minorHAnsi" w:cstheme="minorHAnsi"/>
                <w:b/>
                <w:color w:val="1F497D"/>
                <w:lang w:eastAsia="fr-FR"/>
              </w:rPr>
              <w:t>Modalités</w:t>
            </w:r>
            <w:proofErr w:type="spellEnd"/>
            <w:r w:rsidRPr="001E6707">
              <w:rPr>
                <w:rFonts w:asciiTheme="minorHAnsi" w:hAnsiTheme="minorHAnsi" w:cstheme="minorHAnsi"/>
                <w:b/>
                <w:color w:val="1F497D"/>
                <w:lang w:eastAsia="fr-FR"/>
              </w:rPr>
              <w:t xml:space="preserve"> </w:t>
            </w:r>
            <w:proofErr w:type="spellStart"/>
            <w:r w:rsidRPr="001E6707">
              <w:rPr>
                <w:rFonts w:asciiTheme="minorHAnsi" w:hAnsiTheme="minorHAnsi" w:cstheme="minorHAnsi"/>
                <w:b/>
                <w:color w:val="1F497D"/>
                <w:lang w:eastAsia="fr-FR"/>
              </w:rPr>
              <w:t>d’octroi</w:t>
            </w:r>
            <w:proofErr w:type="spellEnd"/>
            <w:r w:rsidRPr="001E6707">
              <w:rPr>
                <w:rFonts w:asciiTheme="minorHAnsi" w:hAnsiTheme="minorHAnsi" w:cstheme="minorHAnsi"/>
                <w:b/>
                <w:color w:val="1F497D"/>
                <w:lang w:eastAsia="fr-FR"/>
              </w:rPr>
              <w:t xml:space="preserve"> de </w:t>
            </w:r>
            <w:proofErr w:type="spellStart"/>
            <w:r w:rsidRPr="001E6707">
              <w:rPr>
                <w:rFonts w:asciiTheme="minorHAnsi" w:hAnsiTheme="minorHAnsi" w:cstheme="minorHAnsi"/>
                <w:b/>
                <w:color w:val="1F497D"/>
                <w:lang w:eastAsia="fr-FR"/>
              </w:rPr>
              <w:t>l’aide</w:t>
            </w:r>
            <w:proofErr w:type="spellEnd"/>
          </w:p>
        </w:tc>
      </w:tr>
      <w:tr w:rsidR="002F7F3F" w:rsidRPr="008932B3" w14:paraId="5BF29556" w14:textId="77777777" w:rsidTr="002F7F3F">
        <w:tc>
          <w:tcPr>
            <w:tcW w:w="2851" w:type="dxa"/>
            <w:shd w:val="clear" w:color="auto" w:fill="auto"/>
          </w:tcPr>
          <w:p w14:paraId="14BE9C0C"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Principes</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sélection</w:t>
            </w:r>
            <w:proofErr w:type="spellEnd"/>
          </w:p>
        </w:tc>
        <w:tc>
          <w:tcPr>
            <w:tcW w:w="6211" w:type="dxa"/>
            <w:shd w:val="clear" w:color="auto" w:fill="auto"/>
          </w:tcPr>
          <w:p w14:paraId="6F753AE5"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Projets permettant la préservation de l’environnement en contribuant à la transition </w:t>
            </w:r>
            <w:proofErr w:type="spellStart"/>
            <w:r w:rsidRPr="001E6707">
              <w:rPr>
                <w:rFonts w:asciiTheme="minorHAnsi" w:hAnsiTheme="minorHAnsi" w:cstheme="minorHAnsi"/>
                <w:color w:val="000000"/>
                <w:lang w:val="fr-FR" w:eastAsia="fr-FR"/>
              </w:rPr>
              <w:t>agro-écologique</w:t>
            </w:r>
            <w:proofErr w:type="spellEnd"/>
          </w:p>
          <w:p w14:paraId="7F61486A"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Projets favorisant le renouvellement générationnel</w:t>
            </w:r>
          </w:p>
          <w:p w14:paraId="522419FF"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Projets favorisant la sécurisation du travail, en diminuant la pénibilité</w:t>
            </w:r>
          </w:p>
          <w:p w14:paraId="4E061F7B"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Soutien aux exploitations n'ayant pas récemment bénéficié d’une aide publique pour l’acquisition de matériel de montagne</w:t>
            </w:r>
          </w:p>
        </w:tc>
      </w:tr>
      <w:tr w:rsidR="002F7F3F" w:rsidRPr="001E6707" w14:paraId="1669AFC8" w14:textId="77777777" w:rsidTr="002F7F3F">
        <w:tc>
          <w:tcPr>
            <w:tcW w:w="2851" w:type="dxa"/>
            <w:shd w:val="clear" w:color="auto" w:fill="auto"/>
          </w:tcPr>
          <w:p w14:paraId="0457F46A"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lastRenderedPageBreak/>
              <w:t>Fonctionnement</w:t>
            </w:r>
            <w:proofErr w:type="spellEnd"/>
            <w:r w:rsidRPr="001E6707">
              <w:rPr>
                <w:rFonts w:asciiTheme="minorHAnsi" w:hAnsiTheme="minorHAnsi" w:cstheme="minorHAnsi"/>
                <w:color w:val="1F497D"/>
                <w:lang w:eastAsia="fr-FR"/>
              </w:rPr>
              <w:t xml:space="preserve"> du </w:t>
            </w:r>
            <w:proofErr w:type="spellStart"/>
            <w:r w:rsidRPr="001E6707">
              <w:rPr>
                <w:rFonts w:asciiTheme="minorHAnsi" w:hAnsiTheme="minorHAnsi" w:cstheme="minorHAnsi"/>
                <w:color w:val="1F497D"/>
                <w:lang w:eastAsia="fr-FR"/>
              </w:rPr>
              <w:t>dispositif</w:t>
            </w:r>
            <w:proofErr w:type="spellEnd"/>
            <w:r w:rsidRPr="001E6707">
              <w:rPr>
                <w:rFonts w:asciiTheme="minorHAnsi" w:hAnsiTheme="minorHAnsi" w:cstheme="minorHAnsi"/>
                <w:color w:val="1F497D"/>
                <w:lang w:eastAsia="fr-FR"/>
              </w:rPr>
              <w:t xml:space="preserve"> </w:t>
            </w:r>
          </w:p>
        </w:tc>
        <w:tc>
          <w:tcPr>
            <w:tcW w:w="6211" w:type="dxa"/>
            <w:shd w:val="clear" w:color="auto" w:fill="auto"/>
          </w:tcPr>
          <w:p w14:paraId="3D4836C3"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 xml:space="preserve">Appel à </w:t>
            </w:r>
            <w:proofErr w:type="spellStart"/>
            <w:r w:rsidRPr="001E6707">
              <w:rPr>
                <w:rFonts w:asciiTheme="minorHAnsi" w:hAnsiTheme="minorHAnsi" w:cstheme="minorHAnsi"/>
                <w:color w:val="000000"/>
                <w:lang w:eastAsia="fr-FR"/>
              </w:rPr>
              <w:t>projets</w:t>
            </w:r>
            <w:proofErr w:type="spellEnd"/>
          </w:p>
        </w:tc>
      </w:tr>
      <w:tr w:rsidR="002F7F3F" w:rsidRPr="008932B3" w14:paraId="781BDCA3" w14:textId="77777777" w:rsidTr="002F7F3F">
        <w:tc>
          <w:tcPr>
            <w:tcW w:w="2851" w:type="dxa"/>
            <w:shd w:val="clear" w:color="auto" w:fill="auto"/>
          </w:tcPr>
          <w:p w14:paraId="6F89566F" w14:textId="77777777" w:rsidR="002F7F3F" w:rsidRPr="001E6707" w:rsidRDefault="002F7F3F" w:rsidP="00851DCE">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Bonifications </w:t>
            </w:r>
            <w:proofErr w:type="spellStart"/>
            <w:r w:rsidRPr="001E6707">
              <w:rPr>
                <w:rFonts w:asciiTheme="minorHAnsi" w:hAnsiTheme="minorHAnsi" w:cstheme="minorHAnsi"/>
                <w:color w:val="1F497D"/>
                <w:lang w:eastAsia="fr-FR"/>
              </w:rPr>
              <w:t>éventuelles</w:t>
            </w:r>
            <w:proofErr w:type="spellEnd"/>
          </w:p>
        </w:tc>
        <w:tc>
          <w:tcPr>
            <w:tcW w:w="6211" w:type="dxa"/>
            <w:shd w:val="clear" w:color="auto" w:fill="auto"/>
          </w:tcPr>
          <w:p w14:paraId="02C5C4CF"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5</w:t>
            </w:r>
            <w:proofErr w:type="gramStart"/>
            <w:r w:rsidRPr="001E6707">
              <w:rPr>
                <w:rFonts w:asciiTheme="minorHAnsi" w:hAnsiTheme="minorHAnsi" w:cstheme="minorHAnsi"/>
                <w:color w:val="000000"/>
                <w:lang w:val="fr-FR" w:eastAsia="fr-FR"/>
              </w:rPr>
              <w:t>%  si</w:t>
            </w:r>
            <w:proofErr w:type="gramEnd"/>
            <w:r w:rsidRPr="001E6707">
              <w:rPr>
                <w:rFonts w:asciiTheme="minorHAnsi" w:hAnsiTheme="minorHAnsi" w:cstheme="minorHAnsi"/>
                <w:color w:val="000000"/>
                <w:lang w:val="fr-FR" w:eastAsia="fr-FR"/>
              </w:rPr>
              <w:t xml:space="preserve"> achats en </w:t>
            </w:r>
            <w:proofErr w:type="spellStart"/>
            <w:r w:rsidRPr="001E6707">
              <w:rPr>
                <w:rFonts w:asciiTheme="minorHAnsi" w:hAnsiTheme="minorHAnsi" w:cstheme="minorHAnsi"/>
                <w:color w:val="000000"/>
                <w:lang w:val="fr-FR" w:eastAsia="fr-FR"/>
              </w:rPr>
              <w:t>co-propriété</w:t>
            </w:r>
            <w:proofErr w:type="spellEnd"/>
            <w:r w:rsidRPr="001E6707">
              <w:rPr>
                <w:rFonts w:asciiTheme="minorHAnsi" w:hAnsiTheme="minorHAnsi" w:cstheme="minorHAnsi"/>
                <w:color w:val="000000"/>
                <w:lang w:val="fr-FR" w:eastAsia="fr-FR"/>
              </w:rPr>
              <w:t xml:space="preserve"> </w:t>
            </w:r>
          </w:p>
        </w:tc>
      </w:tr>
      <w:tr w:rsidR="002F7F3F" w:rsidRPr="001E6707" w14:paraId="6FE14FC1" w14:textId="77777777" w:rsidTr="002F7F3F">
        <w:tc>
          <w:tcPr>
            <w:tcW w:w="2851" w:type="dxa"/>
            <w:shd w:val="clear" w:color="auto" w:fill="auto"/>
          </w:tcPr>
          <w:p w14:paraId="5FEC5632" w14:textId="77777777" w:rsidR="002F7F3F" w:rsidRPr="001E6707" w:rsidRDefault="002F7F3F" w:rsidP="00851DCE">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Montants et taux maximum d’aide publique</w:t>
            </w:r>
          </w:p>
        </w:tc>
        <w:tc>
          <w:tcPr>
            <w:tcW w:w="6211" w:type="dxa"/>
            <w:shd w:val="clear" w:color="auto" w:fill="auto"/>
          </w:tcPr>
          <w:p w14:paraId="08B3AC30" w14:textId="77777777" w:rsidR="002F7F3F" w:rsidRPr="001E6707" w:rsidRDefault="002F7F3F" w:rsidP="00851DCE">
            <w:pPr>
              <w:adjustRightInd w:val="0"/>
              <w:rPr>
                <w:rFonts w:asciiTheme="minorHAnsi" w:hAnsiTheme="minorHAnsi" w:cstheme="minorHAnsi"/>
                <w:color w:val="000000"/>
                <w:lang w:eastAsia="fr-FR"/>
              </w:rPr>
            </w:pPr>
            <w:proofErr w:type="spellStart"/>
            <w:r w:rsidRPr="001E6707">
              <w:rPr>
                <w:rFonts w:asciiTheme="minorHAnsi" w:hAnsiTheme="minorHAnsi" w:cstheme="minorHAnsi"/>
                <w:color w:val="000000"/>
                <w:lang w:eastAsia="fr-FR"/>
              </w:rPr>
              <w:t>Taux</w:t>
            </w:r>
            <w:proofErr w:type="spellEnd"/>
            <w:r w:rsidRPr="001E6707">
              <w:rPr>
                <w:rFonts w:asciiTheme="minorHAnsi" w:hAnsiTheme="minorHAnsi" w:cstheme="minorHAnsi"/>
                <w:color w:val="000000"/>
                <w:lang w:eastAsia="fr-FR"/>
              </w:rPr>
              <w:t xml:space="preserve"> </w:t>
            </w:r>
            <w:proofErr w:type="spellStart"/>
            <w:r w:rsidRPr="001E6707">
              <w:rPr>
                <w:rFonts w:asciiTheme="minorHAnsi" w:hAnsiTheme="minorHAnsi" w:cstheme="minorHAnsi"/>
                <w:color w:val="000000"/>
                <w:lang w:eastAsia="fr-FR"/>
              </w:rPr>
              <w:t>d’aide</w:t>
            </w:r>
            <w:proofErr w:type="spellEnd"/>
            <w:r w:rsidRPr="001E6707">
              <w:rPr>
                <w:rFonts w:asciiTheme="minorHAnsi" w:hAnsiTheme="minorHAnsi" w:cstheme="minorHAnsi"/>
                <w:color w:val="000000"/>
                <w:lang w:eastAsia="fr-FR"/>
              </w:rPr>
              <w:t xml:space="preserve"> </w:t>
            </w:r>
            <w:proofErr w:type="spellStart"/>
            <w:proofErr w:type="gramStart"/>
            <w:r w:rsidRPr="001E6707">
              <w:rPr>
                <w:rFonts w:asciiTheme="minorHAnsi" w:hAnsiTheme="minorHAnsi" w:cstheme="minorHAnsi"/>
                <w:color w:val="000000"/>
                <w:lang w:eastAsia="fr-FR"/>
              </w:rPr>
              <w:t>publique</w:t>
            </w:r>
            <w:proofErr w:type="spellEnd"/>
            <w:r w:rsidRPr="001E6707">
              <w:rPr>
                <w:rFonts w:asciiTheme="minorHAnsi" w:hAnsiTheme="minorHAnsi" w:cstheme="minorHAnsi"/>
                <w:lang w:eastAsia="fr-FR"/>
              </w:rPr>
              <w:t> </w:t>
            </w:r>
            <w:r w:rsidRPr="001E6707">
              <w:rPr>
                <w:rFonts w:asciiTheme="minorHAnsi" w:hAnsiTheme="minorHAnsi" w:cstheme="minorHAnsi"/>
                <w:color w:val="000000"/>
                <w:lang w:eastAsia="fr-FR"/>
              </w:rPr>
              <w:t>:</w:t>
            </w:r>
            <w:proofErr w:type="gramEnd"/>
            <w:r w:rsidRPr="001E6707">
              <w:rPr>
                <w:rFonts w:asciiTheme="minorHAnsi" w:hAnsiTheme="minorHAnsi" w:cstheme="minorHAnsi"/>
                <w:color w:val="000000"/>
                <w:lang w:eastAsia="fr-FR"/>
              </w:rPr>
              <w:t xml:space="preserve"> 35 %</w:t>
            </w:r>
          </w:p>
        </w:tc>
      </w:tr>
      <w:tr w:rsidR="002F7F3F" w:rsidRPr="008932B3" w14:paraId="4DEFADB7" w14:textId="77777777" w:rsidTr="002F7F3F">
        <w:tc>
          <w:tcPr>
            <w:tcW w:w="9062" w:type="dxa"/>
            <w:gridSpan w:val="2"/>
            <w:shd w:val="clear" w:color="auto" w:fill="auto"/>
          </w:tcPr>
          <w:p w14:paraId="31BD804C"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b/>
                <w:color w:val="1F497D"/>
                <w:lang w:val="fr-FR" w:eastAsia="fr-FR"/>
              </w:rPr>
              <w:t xml:space="preserve">4. Nature et montant de l’aide </w:t>
            </w:r>
          </w:p>
        </w:tc>
      </w:tr>
      <w:tr w:rsidR="002F7F3F" w:rsidRPr="001E6707" w14:paraId="763972F7" w14:textId="77777777" w:rsidTr="002F7F3F">
        <w:tc>
          <w:tcPr>
            <w:tcW w:w="2851" w:type="dxa"/>
            <w:shd w:val="clear" w:color="auto" w:fill="auto"/>
          </w:tcPr>
          <w:p w14:paraId="7EE8119B"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Taux</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cofinancement</w:t>
            </w:r>
            <w:proofErr w:type="spellEnd"/>
            <w:r w:rsidRPr="001E6707">
              <w:rPr>
                <w:rFonts w:asciiTheme="minorHAnsi" w:hAnsiTheme="minorHAnsi" w:cstheme="minorHAnsi"/>
                <w:color w:val="1F497D"/>
                <w:lang w:eastAsia="fr-FR"/>
              </w:rPr>
              <w:t xml:space="preserve"> FEADER</w:t>
            </w:r>
          </w:p>
        </w:tc>
        <w:tc>
          <w:tcPr>
            <w:tcW w:w="6211" w:type="dxa"/>
            <w:shd w:val="clear" w:color="auto" w:fill="auto"/>
          </w:tcPr>
          <w:p w14:paraId="27F85621"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60%</w:t>
            </w:r>
          </w:p>
          <w:p w14:paraId="7D0CFC56" w14:textId="77777777" w:rsidR="002F7F3F" w:rsidRPr="001E6707" w:rsidRDefault="002F7F3F" w:rsidP="00851DCE">
            <w:pPr>
              <w:adjustRightInd w:val="0"/>
              <w:rPr>
                <w:rFonts w:asciiTheme="minorHAnsi" w:hAnsiTheme="minorHAnsi" w:cstheme="minorHAnsi"/>
                <w:color w:val="000000"/>
                <w:lang w:eastAsia="fr-FR"/>
              </w:rPr>
            </w:pPr>
          </w:p>
        </w:tc>
      </w:tr>
      <w:tr w:rsidR="002F7F3F" w:rsidRPr="001E6707" w14:paraId="2EE5E603" w14:textId="77777777" w:rsidTr="002F7F3F">
        <w:tc>
          <w:tcPr>
            <w:tcW w:w="2851" w:type="dxa"/>
            <w:shd w:val="clear" w:color="auto" w:fill="auto"/>
          </w:tcPr>
          <w:p w14:paraId="14FC5429" w14:textId="77777777" w:rsidR="002F7F3F" w:rsidRPr="001E6707" w:rsidRDefault="002F7F3F" w:rsidP="00851DCE">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Type de </w:t>
            </w:r>
            <w:proofErr w:type="spellStart"/>
            <w:r w:rsidRPr="001E6707">
              <w:rPr>
                <w:rFonts w:asciiTheme="minorHAnsi" w:hAnsiTheme="minorHAnsi" w:cstheme="minorHAnsi"/>
                <w:color w:val="1F497D"/>
                <w:lang w:eastAsia="fr-FR"/>
              </w:rPr>
              <w:t>soutien</w:t>
            </w:r>
            <w:proofErr w:type="spellEnd"/>
          </w:p>
        </w:tc>
        <w:tc>
          <w:tcPr>
            <w:tcW w:w="6211" w:type="dxa"/>
            <w:shd w:val="clear" w:color="auto" w:fill="auto"/>
          </w:tcPr>
          <w:p w14:paraId="2F35680F"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 xml:space="preserve">Subvention </w:t>
            </w:r>
          </w:p>
        </w:tc>
      </w:tr>
      <w:tr w:rsidR="002F7F3F" w:rsidRPr="001E6707" w14:paraId="50722ED2" w14:textId="77777777" w:rsidTr="002F7F3F">
        <w:tc>
          <w:tcPr>
            <w:tcW w:w="2851" w:type="dxa"/>
            <w:shd w:val="clear" w:color="auto" w:fill="auto"/>
          </w:tcPr>
          <w:p w14:paraId="44B5BD68" w14:textId="77777777" w:rsidR="002F7F3F" w:rsidRPr="001E6707" w:rsidRDefault="002F7F3F" w:rsidP="00851DCE">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Top up </w:t>
            </w:r>
          </w:p>
        </w:tc>
        <w:tc>
          <w:tcPr>
            <w:tcW w:w="6211" w:type="dxa"/>
            <w:shd w:val="clear" w:color="auto" w:fill="auto"/>
          </w:tcPr>
          <w:p w14:paraId="0B302117"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 xml:space="preserve">Non </w:t>
            </w:r>
            <w:proofErr w:type="spellStart"/>
            <w:r w:rsidRPr="001E6707">
              <w:rPr>
                <w:rFonts w:asciiTheme="minorHAnsi" w:hAnsiTheme="minorHAnsi" w:cstheme="minorHAnsi"/>
                <w:color w:val="000000"/>
                <w:lang w:eastAsia="fr-FR"/>
              </w:rPr>
              <w:t>concerné</w:t>
            </w:r>
            <w:proofErr w:type="spellEnd"/>
          </w:p>
        </w:tc>
      </w:tr>
      <w:tr w:rsidR="002F7F3F" w:rsidRPr="001E6707" w14:paraId="54DF7234" w14:textId="77777777" w:rsidTr="002F7F3F">
        <w:tc>
          <w:tcPr>
            <w:tcW w:w="2851" w:type="dxa"/>
            <w:shd w:val="clear" w:color="auto" w:fill="auto"/>
          </w:tcPr>
          <w:p w14:paraId="477B025C" w14:textId="77777777" w:rsidR="002F7F3F" w:rsidRPr="001E6707" w:rsidRDefault="002F7F3F" w:rsidP="00851DCE">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Co </w:t>
            </w:r>
            <w:proofErr w:type="spellStart"/>
            <w:r w:rsidRPr="001E6707">
              <w:rPr>
                <w:rFonts w:asciiTheme="minorHAnsi" w:hAnsiTheme="minorHAnsi" w:cstheme="minorHAnsi"/>
                <w:color w:val="1F497D"/>
                <w:lang w:eastAsia="fr-FR"/>
              </w:rPr>
              <w:t>financeurs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principaux</w:t>
            </w:r>
            <w:proofErr w:type="spellEnd"/>
            <w:r w:rsidRPr="001E6707">
              <w:rPr>
                <w:rFonts w:asciiTheme="minorHAnsi" w:hAnsiTheme="minorHAnsi" w:cstheme="minorHAnsi"/>
                <w:color w:val="1F497D"/>
                <w:lang w:eastAsia="fr-FR"/>
              </w:rPr>
              <w:t>/</w:t>
            </w:r>
            <w:proofErr w:type="spellStart"/>
            <w:r w:rsidRPr="001E6707">
              <w:rPr>
                <w:rFonts w:asciiTheme="minorHAnsi" w:hAnsiTheme="minorHAnsi" w:cstheme="minorHAnsi"/>
                <w:color w:val="1F497D"/>
                <w:lang w:eastAsia="fr-FR"/>
              </w:rPr>
              <w:t>ponctuels</w:t>
            </w:r>
            <w:proofErr w:type="spellEnd"/>
            <w:r w:rsidRPr="001E6707">
              <w:rPr>
                <w:rFonts w:asciiTheme="minorHAnsi" w:hAnsiTheme="minorHAnsi" w:cstheme="minorHAnsi"/>
                <w:color w:val="1F497D"/>
                <w:lang w:eastAsia="fr-FR"/>
              </w:rPr>
              <w:t xml:space="preserve"> </w:t>
            </w:r>
          </w:p>
        </w:tc>
        <w:tc>
          <w:tcPr>
            <w:tcW w:w="6211" w:type="dxa"/>
            <w:shd w:val="clear" w:color="auto" w:fill="auto"/>
          </w:tcPr>
          <w:p w14:paraId="5516559E" w14:textId="77777777" w:rsidR="002F7F3F" w:rsidRPr="001E6707" w:rsidRDefault="002F7F3F" w:rsidP="00851DCE">
            <w:pPr>
              <w:adjustRightInd w:val="0"/>
              <w:rPr>
                <w:rFonts w:asciiTheme="minorHAnsi" w:hAnsiTheme="minorHAnsi" w:cstheme="minorHAnsi"/>
                <w:color w:val="000000"/>
                <w:lang w:eastAsia="fr-FR"/>
              </w:rPr>
            </w:pPr>
            <w:proofErr w:type="spellStart"/>
            <w:r w:rsidRPr="001E6707">
              <w:rPr>
                <w:rFonts w:asciiTheme="minorHAnsi" w:hAnsiTheme="minorHAnsi" w:cstheme="minorHAnsi"/>
                <w:color w:val="000000"/>
                <w:lang w:eastAsia="fr-FR"/>
              </w:rPr>
              <w:t>Région</w:t>
            </w:r>
            <w:proofErr w:type="spellEnd"/>
            <w:r w:rsidRPr="001E6707">
              <w:rPr>
                <w:rFonts w:asciiTheme="minorHAnsi" w:hAnsiTheme="minorHAnsi" w:cstheme="minorHAnsi"/>
                <w:color w:val="000000"/>
                <w:lang w:eastAsia="fr-FR"/>
              </w:rPr>
              <w:t xml:space="preserve"> et </w:t>
            </w:r>
            <w:proofErr w:type="spellStart"/>
            <w:r w:rsidRPr="001E6707">
              <w:rPr>
                <w:rFonts w:asciiTheme="minorHAnsi" w:hAnsiTheme="minorHAnsi" w:cstheme="minorHAnsi"/>
                <w:color w:val="000000"/>
                <w:lang w:eastAsia="fr-FR"/>
              </w:rPr>
              <w:t>Départements</w:t>
            </w:r>
            <w:proofErr w:type="spellEnd"/>
          </w:p>
        </w:tc>
      </w:tr>
      <w:tr w:rsidR="002F7F3F" w:rsidRPr="008932B3" w14:paraId="2A4A713A" w14:textId="77777777" w:rsidTr="002F7F3F">
        <w:tc>
          <w:tcPr>
            <w:tcW w:w="9062" w:type="dxa"/>
            <w:gridSpan w:val="2"/>
            <w:shd w:val="clear" w:color="auto" w:fill="auto"/>
          </w:tcPr>
          <w:p w14:paraId="1B2D0CA2"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b/>
                <w:color w:val="1F497D"/>
                <w:lang w:val="fr-FR" w:eastAsia="fr-FR"/>
              </w:rPr>
              <w:t>5. calcul du montant de l’aide</w:t>
            </w:r>
          </w:p>
        </w:tc>
      </w:tr>
      <w:tr w:rsidR="002F7F3F" w:rsidRPr="008932B3" w14:paraId="2FCE9ABF" w14:textId="77777777" w:rsidTr="002F7F3F">
        <w:tc>
          <w:tcPr>
            <w:tcW w:w="2851" w:type="dxa"/>
            <w:shd w:val="clear" w:color="auto" w:fill="auto"/>
          </w:tcPr>
          <w:p w14:paraId="04E697C3" w14:textId="77777777" w:rsidR="002F7F3F" w:rsidRPr="001E6707" w:rsidRDefault="002F7F3F" w:rsidP="00851DCE">
            <w:pPr>
              <w:adjustRightInd w:val="0"/>
              <w:rPr>
                <w:rFonts w:asciiTheme="minorHAnsi" w:hAnsiTheme="minorHAnsi" w:cstheme="minorHAnsi"/>
                <w:b/>
                <w:color w:val="1F497D"/>
                <w:lang w:eastAsia="fr-FR"/>
              </w:rPr>
            </w:pPr>
            <w:proofErr w:type="spellStart"/>
            <w:r w:rsidRPr="001E6707">
              <w:rPr>
                <w:rFonts w:asciiTheme="minorHAnsi" w:hAnsiTheme="minorHAnsi" w:cstheme="minorHAnsi"/>
                <w:color w:val="1F497D"/>
                <w:lang w:eastAsia="fr-FR"/>
              </w:rPr>
              <w:t>Plancher</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en</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dépenses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éligibles</w:t>
            </w:r>
            <w:proofErr w:type="spellEnd"/>
            <w:r w:rsidRPr="001E6707">
              <w:rPr>
                <w:rFonts w:asciiTheme="minorHAnsi" w:hAnsiTheme="minorHAnsi" w:cstheme="minorHAnsi"/>
                <w:color w:val="1F497D"/>
                <w:lang w:eastAsia="fr-FR"/>
              </w:rPr>
              <w:t>)</w:t>
            </w:r>
          </w:p>
        </w:tc>
        <w:tc>
          <w:tcPr>
            <w:tcW w:w="6211" w:type="dxa"/>
            <w:shd w:val="clear" w:color="auto" w:fill="auto"/>
          </w:tcPr>
          <w:p w14:paraId="1D58D794" w14:textId="77777777" w:rsidR="002F7F3F" w:rsidRPr="00E75F6D" w:rsidRDefault="002F7F3F" w:rsidP="00851DCE">
            <w:pPr>
              <w:adjustRightInd w:val="0"/>
              <w:rPr>
                <w:rFonts w:asciiTheme="minorHAnsi" w:hAnsiTheme="minorHAnsi" w:cstheme="minorHAnsi"/>
                <w:color w:val="000000"/>
                <w:lang w:val="fr-FR" w:eastAsia="fr-FR"/>
              </w:rPr>
            </w:pPr>
            <w:r w:rsidRPr="00E75F6D">
              <w:rPr>
                <w:rFonts w:asciiTheme="minorHAnsi" w:hAnsiTheme="minorHAnsi" w:cstheme="minorHAnsi"/>
                <w:color w:val="000000"/>
                <w:lang w:val="fr-FR" w:eastAsia="fr-FR"/>
              </w:rPr>
              <w:t xml:space="preserve">5 000 € HT </w:t>
            </w:r>
          </w:p>
          <w:p w14:paraId="74530408"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Ce plancher s’applique au dépôt de la demande d’aide. </w:t>
            </w:r>
          </w:p>
        </w:tc>
      </w:tr>
      <w:tr w:rsidR="002F7F3F" w:rsidRPr="008932B3" w14:paraId="1FB4D115" w14:textId="77777777" w:rsidTr="002F7F3F">
        <w:tc>
          <w:tcPr>
            <w:tcW w:w="2851" w:type="dxa"/>
            <w:shd w:val="clear" w:color="auto" w:fill="auto"/>
          </w:tcPr>
          <w:p w14:paraId="24136456" w14:textId="77777777" w:rsidR="002F7F3F" w:rsidRPr="001E6707" w:rsidRDefault="002F7F3F" w:rsidP="00851DCE">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Plafonds (</w:t>
            </w:r>
            <w:proofErr w:type="spellStart"/>
            <w:r w:rsidRPr="001E6707">
              <w:rPr>
                <w:rFonts w:asciiTheme="minorHAnsi" w:hAnsiTheme="minorHAnsi" w:cstheme="minorHAnsi"/>
                <w:color w:val="1F497D"/>
                <w:lang w:eastAsia="fr-FR"/>
              </w:rPr>
              <w:t>en</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dépenses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éligibles</w:t>
            </w:r>
            <w:proofErr w:type="spellEnd"/>
            <w:r w:rsidRPr="001E6707">
              <w:rPr>
                <w:rFonts w:asciiTheme="minorHAnsi" w:hAnsiTheme="minorHAnsi" w:cstheme="minorHAnsi"/>
                <w:color w:val="1F497D"/>
                <w:lang w:eastAsia="fr-FR"/>
              </w:rPr>
              <w:t>)</w:t>
            </w:r>
          </w:p>
        </w:tc>
        <w:tc>
          <w:tcPr>
            <w:tcW w:w="6211" w:type="dxa"/>
            <w:shd w:val="clear" w:color="auto" w:fill="auto"/>
          </w:tcPr>
          <w:p w14:paraId="16FCEDA5" w14:textId="77777777" w:rsidR="002F7F3F" w:rsidRPr="00B9789D" w:rsidRDefault="002F7F3F" w:rsidP="00851DCE">
            <w:pPr>
              <w:adjustRightInd w:val="0"/>
              <w:rPr>
                <w:rFonts w:asciiTheme="minorHAnsi" w:hAnsiTheme="minorHAnsi" w:cstheme="minorHAnsi"/>
                <w:color w:val="000000"/>
                <w:lang w:val="fr-FR" w:eastAsia="fr-FR"/>
              </w:rPr>
            </w:pPr>
            <w:r w:rsidRPr="00B9789D">
              <w:rPr>
                <w:rFonts w:asciiTheme="minorHAnsi" w:hAnsiTheme="minorHAnsi" w:cstheme="minorHAnsi"/>
                <w:color w:val="000000"/>
                <w:lang w:val="fr-FR" w:eastAsia="fr-FR"/>
              </w:rPr>
              <w:t xml:space="preserve">Plafond précisé pour </w:t>
            </w:r>
            <w:proofErr w:type="gramStart"/>
            <w:r w:rsidRPr="00B9789D">
              <w:rPr>
                <w:rFonts w:asciiTheme="minorHAnsi" w:hAnsiTheme="minorHAnsi" w:cstheme="minorHAnsi"/>
                <w:color w:val="000000"/>
                <w:lang w:val="fr-FR" w:eastAsia="fr-FR"/>
              </w:rPr>
              <w:t>chaque  équipement</w:t>
            </w:r>
            <w:proofErr w:type="gramEnd"/>
            <w:r w:rsidRPr="00B9789D">
              <w:rPr>
                <w:rFonts w:asciiTheme="minorHAnsi" w:hAnsiTheme="minorHAnsi" w:cstheme="minorHAnsi"/>
                <w:color w:val="000000"/>
                <w:lang w:val="fr-FR" w:eastAsia="fr-FR"/>
              </w:rPr>
              <w:t xml:space="preserve"> spécifique sur les tableaux de dépenses</w:t>
            </w:r>
            <w:r>
              <w:rPr>
                <w:rFonts w:asciiTheme="minorHAnsi" w:hAnsiTheme="minorHAnsi" w:cstheme="minorHAnsi"/>
                <w:color w:val="000000"/>
                <w:lang w:val="fr-FR" w:eastAsia="fr-FR"/>
              </w:rPr>
              <w:t xml:space="preserve"> d</w:t>
            </w:r>
            <w:r w:rsidRPr="00B9789D">
              <w:rPr>
                <w:rFonts w:asciiTheme="minorHAnsi" w:hAnsiTheme="minorHAnsi" w:cstheme="minorHAnsi"/>
                <w:color w:val="000000"/>
                <w:lang w:val="fr-FR" w:eastAsia="fr-FR"/>
              </w:rPr>
              <w:t xml:space="preserve">es documents de mise en </w:t>
            </w:r>
            <w:proofErr w:type="spellStart"/>
            <w:r w:rsidRPr="00B9789D">
              <w:rPr>
                <w:rFonts w:asciiTheme="minorHAnsi" w:hAnsiTheme="minorHAnsi" w:cstheme="minorHAnsi"/>
                <w:color w:val="000000"/>
                <w:lang w:val="fr-FR" w:eastAsia="fr-FR"/>
              </w:rPr>
              <w:t>oeuvre</w:t>
            </w:r>
            <w:proofErr w:type="spellEnd"/>
          </w:p>
          <w:p w14:paraId="0035817A" w14:textId="77777777" w:rsidR="002F7F3F" w:rsidRPr="001E6707" w:rsidRDefault="002F7F3F" w:rsidP="00851DCE">
            <w:pPr>
              <w:adjustRightInd w:val="0"/>
              <w:rPr>
                <w:rFonts w:asciiTheme="minorHAnsi" w:hAnsiTheme="minorHAnsi" w:cstheme="minorHAnsi"/>
                <w:color w:val="000000"/>
                <w:lang w:val="fr-FR" w:eastAsia="fr-FR"/>
              </w:rPr>
            </w:pPr>
          </w:p>
        </w:tc>
      </w:tr>
      <w:tr w:rsidR="002F7F3F" w:rsidRPr="008932B3" w14:paraId="2CAC7A05" w14:textId="77777777" w:rsidTr="002F7F3F">
        <w:tc>
          <w:tcPr>
            <w:tcW w:w="2851" w:type="dxa"/>
            <w:shd w:val="clear" w:color="auto" w:fill="auto"/>
          </w:tcPr>
          <w:p w14:paraId="76C5C91A"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Modalités</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versement</w:t>
            </w:r>
            <w:proofErr w:type="spellEnd"/>
            <w:r w:rsidRPr="001E6707">
              <w:rPr>
                <w:rFonts w:asciiTheme="minorHAnsi" w:hAnsiTheme="minorHAnsi" w:cstheme="minorHAnsi"/>
                <w:color w:val="1F497D"/>
                <w:lang w:eastAsia="fr-FR"/>
              </w:rPr>
              <w:t xml:space="preserve"> </w:t>
            </w:r>
          </w:p>
        </w:tc>
        <w:tc>
          <w:tcPr>
            <w:tcW w:w="6211" w:type="dxa"/>
            <w:shd w:val="clear" w:color="auto" w:fill="auto"/>
          </w:tcPr>
          <w:p w14:paraId="1CC0D4B2" w14:textId="77777777" w:rsidR="002F7F3F" w:rsidRPr="001E6707" w:rsidRDefault="002F7F3F" w:rsidP="00851DCE">
            <w:pPr>
              <w:adjustRightInd w:val="0"/>
              <w:rPr>
                <w:rFonts w:asciiTheme="minorHAnsi" w:hAnsiTheme="minorHAnsi" w:cstheme="minorHAnsi"/>
                <w:color w:val="000000"/>
                <w:lang w:val="fr-FR" w:eastAsia="fr-FR"/>
              </w:rPr>
            </w:pPr>
            <w:r w:rsidRPr="001E6707">
              <w:rPr>
                <w:rFonts w:asciiTheme="minorHAnsi" w:hAnsiTheme="minorHAnsi" w:cstheme="minorHAnsi"/>
                <w:lang w:val="fr-FR" w:eastAsia="fr-FR"/>
              </w:rPr>
              <w:t>Un acompte et un solde</w:t>
            </w:r>
          </w:p>
        </w:tc>
      </w:tr>
      <w:tr w:rsidR="002F7F3F" w:rsidRPr="001E6707" w14:paraId="607ECB96" w14:textId="77777777" w:rsidTr="002F7F3F">
        <w:tc>
          <w:tcPr>
            <w:tcW w:w="2851" w:type="dxa"/>
            <w:shd w:val="clear" w:color="auto" w:fill="auto"/>
          </w:tcPr>
          <w:p w14:paraId="6FD1E4FC" w14:textId="77777777" w:rsidR="002F7F3F" w:rsidRPr="001E6707" w:rsidRDefault="002F7F3F" w:rsidP="00851DCE">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Recours à des options de coûts simplifiés</w:t>
            </w:r>
            <w:r>
              <w:rPr>
                <w:rFonts w:asciiTheme="minorHAnsi" w:hAnsiTheme="minorHAnsi" w:cstheme="minorHAnsi"/>
                <w:color w:val="1F497D"/>
                <w:lang w:val="fr-FR" w:eastAsia="fr-FR"/>
              </w:rPr>
              <w:t xml:space="preserve"> (OCS)</w:t>
            </w:r>
          </w:p>
        </w:tc>
        <w:tc>
          <w:tcPr>
            <w:tcW w:w="6211" w:type="dxa"/>
            <w:shd w:val="clear" w:color="auto" w:fill="auto"/>
          </w:tcPr>
          <w:p w14:paraId="624A8936"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 xml:space="preserve">Non </w:t>
            </w:r>
            <w:proofErr w:type="spellStart"/>
            <w:r w:rsidRPr="001E6707">
              <w:rPr>
                <w:rFonts w:asciiTheme="minorHAnsi" w:hAnsiTheme="minorHAnsi" w:cstheme="minorHAnsi"/>
                <w:color w:val="000000"/>
                <w:lang w:eastAsia="fr-FR"/>
              </w:rPr>
              <w:t>concerné</w:t>
            </w:r>
            <w:proofErr w:type="spellEnd"/>
          </w:p>
        </w:tc>
      </w:tr>
      <w:tr w:rsidR="002F7F3F" w:rsidRPr="001E6707" w14:paraId="37B18D24" w14:textId="77777777" w:rsidTr="002F7F3F">
        <w:tc>
          <w:tcPr>
            <w:tcW w:w="2851" w:type="dxa"/>
            <w:shd w:val="clear" w:color="auto" w:fill="auto"/>
          </w:tcPr>
          <w:p w14:paraId="7B5513B4" w14:textId="77777777" w:rsidR="002F7F3F" w:rsidRPr="001E6707" w:rsidRDefault="002F7F3F" w:rsidP="00851DCE">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Précisions éventuelles sur le calcul appliquées à certaines catégories de dépenses</w:t>
            </w:r>
          </w:p>
        </w:tc>
        <w:tc>
          <w:tcPr>
            <w:tcW w:w="6211" w:type="dxa"/>
            <w:shd w:val="clear" w:color="auto" w:fill="auto"/>
          </w:tcPr>
          <w:p w14:paraId="09E1D4E8"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 xml:space="preserve">Non </w:t>
            </w:r>
            <w:proofErr w:type="spellStart"/>
            <w:r w:rsidRPr="001E6707">
              <w:rPr>
                <w:rFonts w:asciiTheme="minorHAnsi" w:hAnsiTheme="minorHAnsi" w:cstheme="minorHAnsi"/>
                <w:color w:val="000000"/>
                <w:lang w:eastAsia="fr-FR"/>
              </w:rPr>
              <w:t>concerné</w:t>
            </w:r>
            <w:proofErr w:type="spellEnd"/>
          </w:p>
        </w:tc>
      </w:tr>
      <w:tr w:rsidR="002F7F3F" w:rsidRPr="001E6707" w14:paraId="2B62E56F" w14:textId="77777777" w:rsidTr="002F7F3F">
        <w:trPr>
          <w:trHeight w:val="344"/>
        </w:trPr>
        <w:tc>
          <w:tcPr>
            <w:tcW w:w="2851" w:type="dxa"/>
            <w:shd w:val="clear" w:color="auto" w:fill="auto"/>
          </w:tcPr>
          <w:p w14:paraId="31807525" w14:textId="77777777" w:rsidR="002F7F3F" w:rsidRPr="001E6707" w:rsidRDefault="002F7F3F" w:rsidP="00851DCE">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Règlementation</w:t>
            </w:r>
            <w:proofErr w:type="spellEnd"/>
            <w:r w:rsidRPr="001E6707">
              <w:rPr>
                <w:rFonts w:asciiTheme="minorHAnsi" w:hAnsiTheme="minorHAnsi" w:cstheme="minorHAnsi"/>
                <w:color w:val="1F497D"/>
                <w:lang w:eastAsia="fr-FR"/>
              </w:rPr>
              <w:t xml:space="preserve"> aides </w:t>
            </w:r>
            <w:proofErr w:type="spellStart"/>
            <w:r w:rsidRPr="001E6707">
              <w:rPr>
                <w:rFonts w:asciiTheme="minorHAnsi" w:hAnsiTheme="minorHAnsi" w:cstheme="minorHAnsi"/>
                <w:color w:val="1F497D"/>
                <w:lang w:eastAsia="fr-FR"/>
              </w:rPr>
              <w:t>d’Etat</w:t>
            </w:r>
            <w:proofErr w:type="spellEnd"/>
          </w:p>
        </w:tc>
        <w:tc>
          <w:tcPr>
            <w:tcW w:w="6211" w:type="dxa"/>
            <w:shd w:val="clear" w:color="auto" w:fill="auto"/>
          </w:tcPr>
          <w:p w14:paraId="281AE8D4" w14:textId="77777777" w:rsidR="002F7F3F" w:rsidRPr="001E6707" w:rsidRDefault="002F7F3F" w:rsidP="00851DCE">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 xml:space="preserve">- </w:t>
            </w:r>
            <w:proofErr w:type="spellStart"/>
            <w:r w:rsidRPr="001E6707">
              <w:rPr>
                <w:rFonts w:asciiTheme="minorHAnsi" w:hAnsiTheme="minorHAnsi" w:cstheme="minorHAnsi"/>
                <w:color w:val="000000"/>
                <w:lang w:eastAsia="fr-FR"/>
              </w:rPr>
              <w:t>Soumis</w:t>
            </w:r>
            <w:proofErr w:type="spellEnd"/>
            <w:r w:rsidRPr="001E6707">
              <w:rPr>
                <w:rFonts w:asciiTheme="minorHAnsi" w:hAnsiTheme="minorHAnsi" w:cstheme="minorHAnsi"/>
                <w:color w:val="000000"/>
                <w:lang w:eastAsia="fr-FR"/>
              </w:rPr>
              <w:t xml:space="preserve"> à </w:t>
            </w:r>
            <w:proofErr w:type="spellStart"/>
            <w:r w:rsidRPr="001E6707">
              <w:rPr>
                <w:rFonts w:asciiTheme="minorHAnsi" w:hAnsiTheme="minorHAnsi" w:cstheme="minorHAnsi"/>
                <w:color w:val="000000"/>
                <w:lang w:eastAsia="fr-FR"/>
              </w:rPr>
              <w:t>l’article</w:t>
            </w:r>
            <w:proofErr w:type="spellEnd"/>
            <w:r w:rsidRPr="001E6707">
              <w:rPr>
                <w:rFonts w:asciiTheme="minorHAnsi" w:hAnsiTheme="minorHAnsi" w:cstheme="minorHAnsi"/>
                <w:color w:val="000000"/>
                <w:lang w:eastAsia="fr-FR"/>
              </w:rPr>
              <w:t xml:space="preserve"> 42 TFUE</w:t>
            </w:r>
          </w:p>
        </w:tc>
      </w:tr>
      <w:tr w:rsidR="002F7F3F" w:rsidRPr="008932B3" w14:paraId="4DB78A87" w14:textId="77777777" w:rsidTr="002F7F3F">
        <w:tc>
          <w:tcPr>
            <w:tcW w:w="2851" w:type="dxa"/>
            <w:shd w:val="clear" w:color="auto" w:fill="auto"/>
          </w:tcPr>
          <w:p w14:paraId="0C0893B1" w14:textId="77777777" w:rsidR="002F7F3F" w:rsidRPr="001E6707" w:rsidRDefault="002F7F3F" w:rsidP="00851DCE">
            <w:pPr>
              <w:adjustRightInd w:val="0"/>
              <w:rPr>
                <w:rFonts w:asciiTheme="minorHAnsi" w:hAnsiTheme="minorHAnsi" w:cstheme="minorHAnsi"/>
                <w:color w:val="1F497D"/>
                <w:lang w:eastAsia="fr-FR"/>
              </w:rPr>
            </w:pPr>
            <w:proofErr w:type="spellStart"/>
            <w:r>
              <w:rPr>
                <w:rFonts w:asciiTheme="minorHAnsi" w:hAnsiTheme="minorHAnsi" w:cstheme="minorHAnsi"/>
                <w:color w:val="1F497D"/>
                <w:lang w:eastAsia="fr-FR"/>
              </w:rPr>
              <w:t>Maintien</w:t>
            </w:r>
            <w:proofErr w:type="spellEnd"/>
            <w:r>
              <w:rPr>
                <w:rFonts w:asciiTheme="minorHAnsi" w:hAnsiTheme="minorHAnsi" w:cstheme="minorHAnsi"/>
                <w:color w:val="1F497D"/>
                <w:lang w:eastAsia="fr-FR"/>
              </w:rPr>
              <w:t xml:space="preserve"> des </w:t>
            </w:r>
            <w:proofErr w:type="spellStart"/>
            <w:r>
              <w:rPr>
                <w:rFonts w:asciiTheme="minorHAnsi" w:hAnsiTheme="minorHAnsi" w:cstheme="minorHAnsi"/>
                <w:color w:val="1F497D"/>
                <w:lang w:eastAsia="fr-FR"/>
              </w:rPr>
              <w:t>dépenses</w:t>
            </w:r>
            <w:proofErr w:type="spellEnd"/>
            <w:r>
              <w:rPr>
                <w:rFonts w:asciiTheme="minorHAnsi" w:hAnsiTheme="minorHAnsi" w:cstheme="minorHAnsi"/>
                <w:color w:val="1F497D"/>
                <w:lang w:eastAsia="fr-FR"/>
              </w:rPr>
              <w:t xml:space="preserve"> </w:t>
            </w:r>
          </w:p>
        </w:tc>
        <w:tc>
          <w:tcPr>
            <w:tcW w:w="6211" w:type="dxa"/>
            <w:shd w:val="clear" w:color="auto" w:fill="auto"/>
          </w:tcPr>
          <w:p w14:paraId="4016A1E7" w14:textId="77777777" w:rsidR="002F7F3F" w:rsidRPr="001E6707" w:rsidRDefault="002F7F3F" w:rsidP="00851DCE">
            <w:pPr>
              <w:jc w:val="both"/>
              <w:rPr>
                <w:rFonts w:asciiTheme="minorHAnsi" w:hAnsiTheme="minorHAnsi" w:cstheme="minorHAnsi"/>
                <w:lang w:val="fr-FR"/>
              </w:rPr>
            </w:pPr>
            <w:r w:rsidRPr="001E6707">
              <w:rPr>
                <w:rFonts w:asciiTheme="minorHAnsi" w:hAnsiTheme="minorHAnsi" w:cstheme="minorHAnsi"/>
                <w:lang w:val="fr-FR"/>
              </w:rPr>
              <w:t xml:space="preserve">Les investissements </w:t>
            </w:r>
            <w:r>
              <w:rPr>
                <w:rFonts w:asciiTheme="minorHAnsi" w:hAnsiTheme="minorHAnsi" w:cstheme="minorHAnsi"/>
                <w:lang w:val="fr-FR"/>
              </w:rPr>
              <w:t>matériels et équipements</w:t>
            </w:r>
            <w:r w:rsidRPr="001E6707">
              <w:rPr>
                <w:rFonts w:asciiTheme="minorHAnsi" w:hAnsiTheme="minorHAnsi" w:cstheme="minorHAnsi"/>
                <w:lang w:val="fr-FR"/>
              </w:rPr>
              <w:t xml:space="preserve"> accompagnés doivent être conservés pendant </w:t>
            </w:r>
            <w:proofErr w:type="spellStart"/>
            <w:r w:rsidRPr="001E6707">
              <w:rPr>
                <w:rFonts w:asciiTheme="minorHAnsi" w:hAnsiTheme="minorHAnsi" w:cstheme="minorHAnsi"/>
                <w:lang w:eastAsia="fr-FR"/>
              </w:rPr>
              <w:t>une</w:t>
            </w:r>
            <w:proofErr w:type="spellEnd"/>
            <w:r w:rsidRPr="001E6707">
              <w:rPr>
                <w:rFonts w:asciiTheme="minorHAnsi" w:hAnsiTheme="minorHAnsi" w:cstheme="minorHAnsi"/>
                <w:lang w:eastAsia="fr-FR"/>
              </w:rPr>
              <w:t xml:space="preserve"> durée </w:t>
            </w:r>
            <w:proofErr w:type="spellStart"/>
            <w:r w:rsidRPr="001E6707">
              <w:rPr>
                <w:rFonts w:asciiTheme="minorHAnsi" w:hAnsiTheme="minorHAnsi" w:cstheme="minorHAnsi"/>
                <w:lang w:eastAsia="fr-FR"/>
              </w:rPr>
              <w:t>minimale</w:t>
            </w:r>
            <w:proofErr w:type="spellEnd"/>
            <w:r w:rsidRPr="001E6707">
              <w:rPr>
                <w:rFonts w:asciiTheme="minorHAnsi" w:hAnsiTheme="minorHAnsi" w:cstheme="minorHAnsi"/>
                <w:lang w:eastAsia="fr-FR"/>
              </w:rPr>
              <w:t xml:space="preserve"> </w:t>
            </w:r>
            <w:r w:rsidRPr="001E6707">
              <w:rPr>
                <w:rFonts w:asciiTheme="minorHAnsi" w:hAnsiTheme="minorHAnsi" w:cstheme="minorHAnsi"/>
                <w:lang w:val="fr-FR"/>
              </w:rPr>
              <w:t xml:space="preserve">de </w:t>
            </w:r>
            <w:r>
              <w:rPr>
                <w:rFonts w:asciiTheme="minorHAnsi" w:hAnsiTheme="minorHAnsi" w:cstheme="minorHAnsi"/>
                <w:lang w:val="fr-FR"/>
              </w:rPr>
              <w:t>3</w:t>
            </w:r>
            <w:r w:rsidRPr="001E6707">
              <w:rPr>
                <w:rFonts w:asciiTheme="minorHAnsi" w:hAnsiTheme="minorHAnsi" w:cstheme="minorHAnsi"/>
                <w:lang w:val="fr-FR"/>
              </w:rPr>
              <w:t xml:space="preserve"> ans à com</w:t>
            </w:r>
            <w:r>
              <w:rPr>
                <w:rFonts w:asciiTheme="minorHAnsi" w:hAnsiTheme="minorHAnsi" w:cstheme="minorHAnsi"/>
                <w:lang w:val="fr-FR"/>
              </w:rPr>
              <w:t>pter de la date de la dernière signature</w:t>
            </w:r>
            <w:r w:rsidRPr="001E6707">
              <w:rPr>
                <w:rFonts w:asciiTheme="minorHAnsi" w:hAnsiTheme="minorHAnsi" w:cstheme="minorHAnsi"/>
                <w:lang w:val="fr-FR"/>
              </w:rPr>
              <w:t xml:space="preserve"> de la décision juridique. </w:t>
            </w:r>
          </w:p>
          <w:p w14:paraId="3F4DE206" w14:textId="77777777" w:rsidR="002F7F3F" w:rsidRPr="001E6707" w:rsidRDefault="002F7F3F" w:rsidP="00851DCE">
            <w:pPr>
              <w:jc w:val="both"/>
              <w:rPr>
                <w:rFonts w:asciiTheme="minorHAnsi" w:hAnsiTheme="minorHAnsi" w:cstheme="minorHAnsi"/>
                <w:lang w:val="fr-FR"/>
              </w:rPr>
            </w:pPr>
            <w:r w:rsidRPr="001E6707">
              <w:rPr>
                <w:rFonts w:asciiTheme="minorHAnsi" w:hAnsiTheme="minorHAnsi" w:cstheme="minorHAnsi"/>
                <w:lang w:val="fr-FR"/>
              </w:rPr>
              <w:t xml:space="preserve">En cas de non-respect de cette obligation, le bénéficiaire s’expose au remboursement de tout ou partie de l’aide accordée. </w:t>
            </w:r>
          </w:p>
          <w:p w14:paraId="29E4E87B" w14:textId="77777777" w:rsidR="002F7F3F" w:rsidRPr="001E6707" w:rsidRDefault="002F7F3F" w:rsidP="00851DCE">
            <w:pPr>
              <w:rPr>
                <w:rFonts w:asciiTheme="minorHAnsi" w:hAnsiTheme="minorHAnsi" w:cstheme="minorHAnsi"/>
                <w:lang w:val="fr-FR"/>
              </w:rPr>
            </w:pPr>
            <w:r w:rsidRPr="001E6707">
              <w:rPr>
                <w:rFonts w:asciiTheme="minorHAnsi" w:hAnsiTheme="minorHAnsi" w:cstheme="minorHAnsi"/>
                <w:lang w:val="fr-FR"/>
              </w:rPr>
              <w:t>Des précisions sur les conditions de mise en œuvre de cette règle sont apportées dans les documents de mise en œuvre. </w:t>
            </w:r>
          </w:p>
        </w:tc>
      </w:tr>
    </w:tbl>
    <w:p w14:paraId="2928D160" w14:textId="77777777" w:rsidR="00574A33" w:rsidRDefault="00574A33"/>
    <w:sectPr w:rsidR="00574A33" w:rsidSect="002F7F3F">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1C48" w14:textId="77777777" w:rsidR="002F7F3F" w:rsidRDefault="002F7F3F" w:rsidP="002F7F3F">
      <w:r>
        <w:separator/>
      </w:r>
    </w:p>
  </w:endnote>
  <w:endnote w:type="continuationSeparator" w:id="0">
    <w:p w14:paraId="09EE525C" w14:textId="77777777" w:rsidR="002F7F3F" w:rsidRDefault="002F7F3F" w:rsidP="002F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0CFC" w14:textId="77777777" w:rsidR="002F7F3F" w:rsidRPr="004C7F5C" w:rsidRDefault="002F7F3F" w:rsidP="002F7F3F">
    <w:pPr>
      <w:pStyle w:val="Corpsdetexte"/>
      <w:spacing w:before="98"/>
      <w:jc w:val="right"/>
      <w:rPr>
        <w:rFonts w:asciiTheme="minorHAnsi" w:hAnsiTheme="minorHAnsi" w:cstheme="minorHAnsi"/>
        <w:sz w:val="14"/>
        <w:szCs w:val="14"/>
        <w:lang w:val="fr-FR"/>
      </w:rPr>
    </w:pPr>
    <w:r w:rsidRPr="004C7F5C">
      <w:rPr>
        <w:rFonts w:asciiTheme="minorHAnsi" w:hAnsiTheme="minorHAnsi" w:cstheme="minorHAnsi"/>
        <w:sz w:val="14"/>
        <w:szCs w:val="14"/>
        <w:lang w:val="fr-FR"/>
      </w:rPr>
      <w:t xml:space="preserve">V.1.1 PSR présenté en Comité régional de Suivi </w:t>
    </w:r>
    <w:proofErr w:type="gramStart"/>
    <w:r w:rsidRPr="004C7F5C">
      <w:rPr>
        <w:rFonts w:asciiTheme="minorHAnsi" w:hAnsiTheme="minorHAnsi" w:cstheme="minorHAnsi"/>
        <w:sz w:val="14"/>
        <w:szCs w:val="14"/>
        <w:lang w:val="fr-FR"/>
      </w:rPr>
      <w:t>Décembre</w:t>
    </w:r>
    <w:proofErr w:type="gramEnd"/>
    <w:r w:rsidRPr="004C7F5C">
      <w:rPr>
        <w:rFonts w:asciiTheme="minorHAnsi" w:hAnsiTheme="minorHAnsi" w:cstheme="minorHAnsi"/>
        <w:sz w:val="14"/>
        <w:szCs w:val="14"/>
        <w:lang w:val="fr-FR"/>
      </w:rPr>
      <w:t xml:space="preserve"> 2022 - PSN validé par la Commission Européenne le 31/08/2022</w:t>
    </w:r>
  </w:p>
  <w:p w14:paraId="5EA465D0" w14:textId="77777777" w:rsidR="002F7F3F" w:rsidRDefault="002F7F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42AA" w14:textId="77777777" w:rsidR="002F7F3F" w:rsidRDefault="002F7F3F" w:rsidP="002F7F3F">
      <w:r>
        <w:separator/>
      </w:r>
    </w:p>
  </w:footnote>
  <w:footnote w:type="continuationSeparator" w:id="0">
    <w:p w14:paraId="6720E3EB" w14:textId="77777777" w:rsidR="002F7F3F" w:rsidRDefault="002F7F3F" w:rsidP="002F7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D7DB2"/>
    <w:multiLevelType w:val="hybridMultilevel"/>
    <w:tmpl w:val="299CC836"/>
    <w:lvl w:ilvl="0" w:tplc="29AE8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080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3F"/>
    <w:rsid w:val="002F7F3F"/>
    <w:rsid w:val="00574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7C2F"/>
  <w15:chartTrackingRefBased/>
  <w15:docId w15:val="{7D363325-A164-4D94-954E-4A6ACC1C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3F"/>
    <w:pPr>
      <w:widowControl w:val="0"/>
      <w:autoSpaceDE w:val="0"/>
      <w:autoSpaceDN w:val="0"/>
      <w:spacing w:after="0" w:line="240" w:lineRule="auto"/>
    </w:pPr>
    <w:rPr>
      <w:rFonts w:ascii="TeXGyreAdventor" w:eastAsia="TeXGyreAdventor" w:hAnsi="TeXGyreAdventor" w:cs="TeXGyreAdventor"/>
      <w:lang w:val="en-US"/>
    </w:rPr>
  </w:style>
  <w:style w:type="paragraph" w:styleId="Titre1">
    <w:name w:val="heading 1"/>
    <w:basedOn w:val="Normal"/>
    <w:next w:val="Normal"/>
    <w:link w:val="Titre1Car"/>
    <w:uiPriority w:val="9"/>
    <w:qFormat/>
    <w:rsid w:val="002F7F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7F3F"/>
    <w:rPr>
      <w:rFonts w:asciiTheme="majorHAnsi" w:eastAsiaTheme="majorEastAsia" w:hAnsiTheme="majorHAnsi" w:cstheme="majorBidi"/>
      <w:color w:val="2F5496" w:themeColor="accent1" w:themeShade="BF"/>
      <w:sz w:val="32"/>
      <w:szCs w:val="32"/>
      <w:lang w:val="en-US"/>
    </w:rPr>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2F7F3F"/>
  </w:style>
  <w:style w:type="character" w:styleId="Marquedecommentaire">
    <w:name w:val="annotation reference"/>
    <w:basedOn w:val="Policepardfaut"/>
    <w:uiPriority w:val="99"/>
    <w:semiHidden/>
    <w:unhideWhenUsed/>
    <w:rsid w:val="002F7F3F"/>
    <w:rPr>
      <w:sz w:val="16"/>
      <w:szCs w:val="16"/>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link w:val="Paragraphedeliste"/>
    <w:uiPriority w:val="34"/>
    <w:qFormat/>
    <w:rsid w:val="002F7F3F"/>
    <w:rPr>
      <w:rFonts w:ascii="TeXGyreAdventor" w:eastAsia="TeXGyreAdventor" w:hAnsi="TeXGyreAdventor" w:cs="TeXGyreAdventor"/>
      <w:lang w:val="en-US"/>
    </w:rPr>
  </w:style>
  <w:style w:type="paragraph" w:styleId="En-tte">
    <w:name w:val="header"/>
    <w:basedOn w:val="Normal"/>
    <w:link w:val="En-tteCar"/>
    <w:uiPriority w:val="99"/>
    <w:unhideWhenUsed/>
    <w:rsid w:val="002F7F3F"/>
    <w:pPr>
      <w:tabs>
        <w:tab w:val="center" w:pos="4536"/>
        <w:tab w:val="right" w:pos="9072"/>
      </w:tabs>
    </w:pPr>
  </w:style>
  <w:style w:type="character" w:customStyle="1" w:styleId="En-tteCar">
    <w:name w:val="En-tête Car"/>
    <w:basedOn w:val="Policepardfaut"/>
    <w:link w:val="En-tte"/>
    <w:uiPriority w:val="99"/>
    <w:rsid w:val="002F7F3F"/>
    <w:rPr>
      <w:rFonts w:ascii="TeXGyreAdventor" w:eastAsia="TeXGyreAdventor" w:hAnsi="TeXGyreAdventor" w:cs="TeXGyreAdventor"/>
      <w:lang w:val="en-US"/>
    </w:rPr>
  </w:style>
  <w:style w:type="paragraph" w:styleId="Pieddepage">
    <w:name w:val="footer"/>
    <w:basedOn w:val="Normal"/>
    <w:link w:val="PieddepageCar"/>
    <w:uiPriority w:val="99"/>
    <w:unhideWhenUsed/>
    <w:rsid w:val="002F7F3F"/>
    <w:pPr>
      <w:tabs>
        <w:tab w:val="center" w:pos="4536"/>
        <w:tab w:val="right" w:pos="9072"/>
      </w:tabs>
    </w:pPr>
  </w:style>
  <w:style w:type="character" w:customStyle="1" w:styleId="PieddepageCar">
    <w:name w:val="Pied de page Car"/>
    <w:basedOn w:val="Policepardfaut"/>
    <w:link w:val="Pieddepage"/>
    <w:uiPriority w:val="99"/>
    <w:rsid w:val="002F7F3F"/>
    <w:rPr>
      <w:rFonts w:ascii="TeXGyreAdventor" w:eastAsia="TeXGyreAdventor" w:hAnsi="TeXGyreAdventor" w:cs="TeXGyreAdventor"/>
      <w:lang w:val="en-US"/>
    </w:rPr>
  </w:style>
  <w:style w:type="paragraph" w:styleId="Corpsdetexte">
    <w:name w:val="Body Text"/>
    <w:basedOn w:val="Normal"/>
    <w:link w:val="CorpsdetexteCar"/>
    <w:qFormat/>
    <w:rsid w:val="002F7F3F"/>
    <w:rPr>
      <w:i/>
      <w:iCs/>
      <w:sz w:val="27"/>
      <w:szCs w:val="27"/>
    </w:rPr>
  </w:style>
  <w:style w:type="character" w:customStyle="1" w:styleId="CorpsdetexteCar">
    <w:name w:val="Corps de texte Car"/>
    <w:basedOn w:val="Policepardfaut"/>
    <w:link w:val="Corpsdetexte"/>
    <w:rsid w:val="002F7F3F"/>
    <w:rPr>
      <w:rFonts w:ascii="TeXGyreAdventor" w:eastAsia="TeXGyreAdventor" w:hAnsi="TeXGyreAdventor" w:cs="TeXGyreAdventor"/>
      <w:i/>
      <w:i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1291</Words>
  <Characters>7104</Characters>
  <Application>Microsoft Office Word</Application>
  <DocSecurity>0</DocSecurity>
  <Lines>59</Lines>
  <Paragraphs>16</Paragraphs>
  <ScaleCrop>false</ScaleCrop>
  <Company>REGION NOUVELLE-AQUITAINE</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CHAUMOND</dc:creator>
  <cp:keywords/>
  <dc:description/>
  <cp:lastModifiedBy>Lise CHAUMOND</cp:lastModifiedBy>
  <cp:revision>1</cp:revision>
  <dcterms:created xsi:type="dcterms:W3CDTF">2023-09-22T13:54:00Z</dcterms:created>
  <dcterms:modified xsi:type="dcterms:W3CDTF">2023-09-22T13:57:00Z</dcterms:modified>
</cp:coreProperties>
</file>