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A333DA">
      <w:r>
        <w:rPr>
          <w:noProof/>
          <w:lang w:eastAsia="fr-FR"/>
        </w:rPr>
        <w:drawing>
          <wp:inline distT="0" distB="0" distL="0" distR="0">
            <wp:extent cx="2552700" cy="8728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322C88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Annexe 1</w:t>
      </w:r>
      <w:r w:rsidR="00A333DA"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="00A333DA"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4A7E07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Version 1.0</w:t>
      </w:r>
      <w:bookmarkStart w:id="0" w:name="_GoBack"/>
      <w:bookmarkEnd w:id="0"/>
      <w:r w:rsidR="00A333DA" w:rsidRPr="00A333DA">
        <w:rPr>
          <w:rFonts w:ascii="Arial" w:hAnsi="Arial" w:cs="Arial"/>
          <w:color w:val="0070C0"/>
        </w:rPr>
        <w:t xml:space="preserve"> du </w:t>
      </w:r>
      <w:r w:rsidR="00700C50">
        <w:rPr>
          <w:rFonts w:ascii="Arial" w:hAnsi="Arial" w:cs="Arial"/>
          <w:color w:val="0070C0"/>
        </w:rPr>
        <w:t>11/12/2019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 xml:space="preserve">les pouvoirs adjudicateurs soumis à l'ordonnance du 23 juillet 2015 </w:t>
      </w:r>
      <w:r w:rsidR="00700C50">
        <w:rPr>
          <w:rFonts w:ascii="Arial" w:hAnsi="Arial" w:cs="Arial"/>
          <w:sz w:val="20"/>
          <w:szCs w:val="20"/>
        </w:rPr>
        <w:t>/ au code de la commande publique à compter du 1</w:t>
      </w:r>
      <w:r w:rsidR="00700C50" w:rsidRPr="00700C50">
        <w:rPr>
          <w:rFonts w:ascii="Arial" w:hAnsi="Arial" w:cs="Arial"/>
          <w:sz w:val="20"/>
          <w:szCs w:val="20"/>
          <w:vertAlign w:val="superscript"/>
        </w:rPr>
        <w:t>er</w:t>
      </w:r>
      <w:r w:rsidR="00700C50">
        <w:rPr>
          <w:rFonts w:ascii="Arial" w:hAnsi="Arial" w:cs="Arial"/>
          <w:sz w:val="20"/>
          <w:szCs w:val="20"/>
        </w:rPr>
        <w:t xml:space="preserve"> avril 2019 </w:t>
      </w:r>
      <w:r w:rsidRPr="005923CC">
        <w:rPr>
          <w:rFonts w:ascii="Arial" w:hAnsi="Arial" w:cs="Arial"/>
          <w:sz w:val="20"/>
          <w:szCs w:val="20"/>
        </w:rPr>
        <w:t>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'activité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financée majoritairement par l’État, les collectivités territoriales ou d’autres organismes de droit public.</w:t>
      </w:r>
    </w:p>
    <w:p w:rsidR="00A333DA" w:rsidRPr="00100E43" w:rsidRDefault="00A333DA" w:rsidP="00951C8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La gestion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'organe d’administration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A50C14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A4DBE">
        <w:rPr>
          <w:rFonts w:ascii="Arial" w:hAnsi="Arial" w:cs="Arial"/>
          <w:bCs/>
          <w:sz w:val="20"/>
          <w:szCs w:val="20"/>
        </w:rPr>
      </w:r>
      <w:r w:rsidR="003A4DBE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DBE" w:rsidRDefault="003A4DBE" w:rsidP="00CE0B4D">
      <w:pPr>
        <w:spacing w:line="240" w:lineRule="auto"/>
      </w:pPr>
      <w:r>
        <w:separator/>
      </w:r>
    </w:p>
  </w:endnote>
  <w:endnote w:type="continuationSeparator" w:id="0">
    <w:p w:rsidR="003A4DBE" w:rsidRDefault="003A4DBE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DBE" w:rsidRDefault="003A4DBE" w:rsidP="00CE0B4D">
      <w:pPr>
        <w:spacing w:line="240" w:lineRule="auto"/>
      </w:pPr>
      <w:r>
        <w:separator/>
      </w:r>
    </w:p>
  </w:footnote>
  <w:footnote w:type="continuationSeparator" w:id="0">
    <w:p w:rsidR="003A4DBE" w:rsidRDefault="003A4DBE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22C88"/>
    <w:rsid w:val="003A4DBE"/>
    <w:rsid w:val="003A4E82"/>
    <w:rsid w:val="004A7E07"/>
    <w:rsid w:val="00502C72"/>
    <w:rsid w:val="005923CC"/>
    <w:rsid w:val="00606109"/>
    <w:rsid w:val="00687198"/>
    <w:rsid w:val="006B169D"/>
    <w:rsid w:val="006C2AE6"/>
    <w:rsid w:val="00700C50"/>
    <w:rsid w:val="00951C83"/>
    <w:rsid w:val="00966480"/>
    <w:rsid w:val="00A333DA"/>
    <w:rsid w:val="00A50C14"/>
    <w:rsid w:val="00A75B49"/>
    <w:rsid w:val="00C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100A-2533-4F40-A550-531148FC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A75C0-EE0E-4419-BC62-0C14D6F1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Mahfouz BATOKO</cp:lastModifiedBy>
  <cp:revision>4</cp:revision>
  <dcterms:created xsi:type="dcterms:W3CDTF">2019-12-11T13:16:00Z</dcterms:created>
  <dcterms:modified xsi:type="dcterms:W3CDTF">2022-04-07T09:48:00Z</dcterms:modified>
</cp:coreProperties>
</file>