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CE" w:rsidRDefault="009B64CE" w:rsidP="009B64CE">
      <w:pPr>
        <w:pStyle w:val="Titre"/>
        <w:rPr>
          <w:rFonts w:ascii="Intro Regular" w:hAnsi="Intro Regular"/>
          <w:color w:val="C10435"/>
        </w:rPr>
      </w:pPr>
    </w:p>
    <w:p w:rsidR="009B64CE" w:rsidRPr="00A67BC3" w:rsidRDefault="009B64CE" w:rsidP="009B64CE">
      <w:pPr>
        <w:pStyle w:val="Titre"/>
        <w:rPr>
          <w:rFonts w:ascii="Intro Regular" w:hAnsi="Intro Regular"/>
          <w:color w:val="C10435"/>
        </w:rPr>
      </w:pPr>
      <w:r w:rsidRPr="00A67BC3">
        <w:rPr>
          <w:rFonts w:ascii="Intro Regular" w:hAnsi="Intro Regular"/>
          <w:color w:val="C10435"/>
        </w:rPr>
        <w:t xml:space="preserve">Programme URBACT III </w:t>
      </w:r>
    </w:p>
    <w:p w:rsidR="009B64CE" w:rsidRPr="00A67BC3" w:rsidRDefault="005F1E41" w:rsidP="009B64CE">
      <w:pPr>
        <w:pStyle w:val="Titre"/>
        <w:rPr>
          <w:rFonts w:ascii="Intro Regular" w:hAnsi="Intro Regular"/>
          <w:color w:val="C10435"/>
        </w:rPr>
      </w:pPr>
      <w:r>
        <w:rPr>
          <w:rFonts w:ascii="Intro Regular" w:hAnsi="Intro Regular"/>
          <w:color w:val="C10435"/>
        </w:rPr>
        <w:t>2014-2020</w:t>
      </w:r>
    </w:p>
    <w:p w:rsidR="009B64CE" w:rsidRDefault="009B64CE" w:rsidP="009B64CE">
      <w:pPr>
        <w:pStyle w:val="Sous-titre"/>
        <w:rPr>
          <w:color w:val="C10435"/>
        </w:rPr>
      </w:pPr>
    </w:p>
    <w:p w:rsidR="009B64CE" w:rsidRDefault="009B64CE" w:rsidP="009B64CE">
      <w:pPr>
        <w:pStyle w:val="Sous-titre"/>
        <w:rPr>
          <w:color w:val="C10435"/>
        </w:rPr>
      </w:pPr>
      <w:r w:rsidRPr="00A67BC3">
        <w:rPr>
          <w:color w:val="C10435"/>
        </w:rPr>
        <w:t>Coopération territoriale européenne</w:t>
      </w:r>
    </w:p>
    <w:p w:rsidR="009B64CE" w:rsidRPr="008E5722" w:rsidRDefault="009B64CE" w:rsidP="009B64CE"/>
    <w:p w:rsidR="009B64CE" w:rsidRPr="0009562C" w:rsidRDefault="009B64CE" w:rsidP="009B64CE">
      <w:pPr>
        <w:pBdr>
          <w:top w:val="single" w:sz="4" w:space="1" w:color="auto"/>
          <w:left w:val="single" w:sz="4" w:space="4" w:color="auto"/>
          <w:bottom w:val="single" w:sz="4" w:space="1" w:color="auto"/>
          <w:right w:val="single" w:sz="4" w:space="4" w:color="auto"/>
        </w:pBdr>
        <w:spacing w:line="276" w:lineRule="auto"/>
        <w:rPr>
          <w:rFonts w:eastAsia="Arial Unicode MS"/>
        </w:rPr>
      </w:pPr>
      <w:r w:rsidRPr="0009562C">
        <w:rPr>
          <w:rFonts w:eastAsia="Arial Unicode MS"/>
        </w:rPr>
        <w:t xml:space="preserve">L’un des objectifs clés de la politique régionale de l’Union européenne (UE) est la </w:t>
      </w:r>
      <w:r w:rsidRPr="0009562C">
        <w:rPr>
          <w:rStyle w:val="Titre1Car"/>
          <w:color w:val="404040" w:themeColor="text1" w:themeTint="BF"/>
          <w:sz w:val="20"/>
          <w:szCs w:val="20"/>
        </w:rPr>
        <w:t>coopération territoriale européenne (CTE)</w:t>
      </w:r>
      <w:r w:rsidRPr="0009562C">
        <w:rPr>
          <w:rStyle w:val="Titre1Car"/>
          <w:b w:val="0"/>
          <w:color w:val="404040" w:themeColor="text1" w:themeTint="BF"/>
          <w:sz w:val="20"/>
          <w:szCs w:val="20"/>
        </w:rPr>
        <w:t>.</w:t>
      </w:r>
      <w:r w:rsidRPr="0009562C">
        <w:rPr>
          <w:rStyle w:val="Titre1Car"/>
          <w:color w:val="404040" w:themeColor="text1" w:themeTint="BF"/>
          <w:sz w:val="20"/>
          <w:szCs w:val="20"/>
        </w:rPr>
        <w:t xml:space="preserve"> </w:t>
      </w:r>
      <w:r w:rsidRPr="0009562C">
        <w:rPr>
          <w:rFonts w:eastAsia="Arial Unicode MS"/>
        </w:rPr>
        <w:t>Cette dernière comporte trois piliers : la coopération transfrontalière, la coopération transnationale et la coopération interrégionale.</w:t>
      </w:r>
    </w:p>
    <w:p w:rsidR="009B64CE" w:rsidRPr="00EE083F" w:rsidRDefault="009B64CE" w:rsidP="009B64CE">
      <w:pPr>
        <w:spacing w:line="276" w:lineRule="auto"/>
        <w:rPr>
          <w:rFonts w:eastAsia="Arial Unicode MS" w:cs="Arial Unicode MS"/>
        </w:rPr>
      </w:pPr>
    </w:p>
    <w:p w:rsidR="009B64CE" w:rsidRPr="00EE083F" w:rsidRDefault="009B64CE" w:rsidP="009B64CE">
      <w:pPr>
        <w:spacing w:line="276" w:lineRule="auto"/>
        <w:rPr>
          <w:rFonts w:eastAsia="Arial Unicode MS" w:cs="Arial Unicode MS"/>
        </w:rPr>
      </w:pPr>
      <w:r w:rsidRPr="00EE083F">
        <w:rPr>
          <w:rFonts w:eastAsia="Arial Unicode MS" w:cs="Arial Unicode MS"/>
        </w:rPr>
        <w:t xml:space="preserve">La coopération territoriale bénéficie d’un budget </w:t>
      </w:r>
      <w:r>
        <w:rPr>
          <w:rFonts w:eastAsia="Arial Unicode MS" w:cs="Arial Unicode MS"/>
        </w:rPr>
        <w:t>global de 8,95</w:t>
      </w:r>
      <w:r w:rsidRPr="00EE083F">
        <w:rPr>
          <w:rFonts w:eastAsia="Arial Unicode MS" w:cs="Arial Unicode MS"/>
        </w:rPr>
        <w:t xml:space="preserve"> milliards € pour la période 2014-2020</w:t>
      </w:r>
      <w:r>
        <w:rPr>
          <w:rFonts w:eastAsia="Arial Unicode MS" w:cs="Arial Unicode MS"/>
        </w:rPr>
        <w:t xml:space="preserve"> soit 2,75% des ressources totales disponibles pour les engagements budgétaires du FEDER, du FSE et du Fonds de cohésion pour la période de programmation</w:t>
      </w:r>
      <w:r w:rsidRPr="00EE083F">
        <w:rPr>
          <w:rFonts w:eastAsia="Arial Unicode MS" w:cs="Arial Unicode MS"/>
        </w:rPr>
        <w:t>.</w:t>
      </w:r>
      <w:r>
        <w:rPr>
          <w:rFonts w:eastAsia="Arial Unicode MS" w:cs="Arial Unicode MS"/>
        </w:rPr>
        <w:t xml:space="preserve"> En effet, c’</w:t>
      </w:r>
      <w:r w:rsidRPr="00EE083F">
        <w:rPr>
          <w:rFonts w:eastAsia="Arial Unicode MS" w:cs="Arial Unicode MS"/>
        </w:rPr>
        <w:t xml:space="preserve">est le </w:t>
      </w:r>
      <w:r w:rsidRPr="00A67BC3">
        <w:rPr>
          <w:rStyle w:val="Titre1Car"/>
          <w:color w:val="C10435"/>
          <w:sz w:val="20"/>
          <w:szCs w:val="20"/>
        </w:rPr>
        <w:t>Fonds européen de développement régional (FEDER)</w:t>
      </w:r>
      <w:r w:rsidRPr="00A67BC3">
        <w:rPr>
          <w:rStyle w:val="Titre1Car"/>
          <w:color w:val="C10435"/>
        </w:rPr>
        <w:t xml:space="preserve"> </w:t>
      </w:r>
      <w:r>
        <w:rPr>
          <w:rFonts w:eastAsia="Arial Unicode MS" w:cs="Arial Unicode MS"/>
        </w:rPr>
        <w:t>qui abonde les</w:t>
      </w:r>
      <w:r w:rsidRPr="00EE083F">
        <w:rPr>
          <w:rFonts w:eastAsia="Arial Unicode MS" w:cs="Arial Unicode MS"/>
        </w:rPr>
        <w:t xml:space="preserve"> programme</w:t>
      </w:r>
      <w:r>
        <w:rPr>
          <w:rFonts w:eastAsia="Arial Unicode MS" w:cs="Arial Unicode MS"/>
        </w:rPr>
        <w:t>s de la CTE</w:t>
      </w:r>
      <w:r w:rsidRPr="00EE083F">
        <w:rPr>
          <w:rFonts w:eastAsia="Arial Unicode MS" w:cs="Arial Unicode MS"/>
        </w:rPr>
        <w:t> :</w:t>
      </w:r>
    </w:p>
    <w:p w:rsidR="009B64CE" w:rsidRPr="00EE083F" w:rsidRDefault="009B64CE" w:rsidP="009B64CE">
      <w:pPr>
        <w:numPr>
          <w:ilvl w:val="0"/>
          <w:numId w:val="1"/>
        </w:numPr>
        <w:spacing w:after="200" w:line="276" w:lineRule="auto"/>
        <w:contextualSpacing/>
        <w:rPr>
          <w:rFonts w:eastAsia="Arial Unicode MS" w:cs="Arial Unicode MS"/>
        </w:rPr>
      </w:pPr>
      <w:r>
        <w:rPr>
          <w:rFonts w:eastAsia="Arial Unicode MS" w:cs="Arial Unicode MS"/>
        </w:rPr>
        <w:t xml:space="preserve">6,6 milliards €, pour </w:t>
      </w:r>
      <w:r w:rsidRPr="00EE083F">
        <w:rPr>
          <w:rFonts w:eastAsia="Arial Unicode MS" w:cs="Arial Unicode MS"/>
        </w:rPr>
        <w:t>la coopération tra</w:t>
      </w:r>
      <w:r>
        <w:rPr>
          <w:rFonts w:eastAsia="Arial Unicode MS" w:cs="Arial Unicode MS"/>
        </w:rPr>
        <w:t xml:space="preserve">nsfrontalière (programmes INTERREG VA) ; </w:t>
      </w:r>
    </w:p>
    <w:p w:rsidR="009B64CE" w:rsidRPr="00EE083F" w:rsidRDefault="009B64CE" w:rsidP="009B64CE">
      <w:pPr>
        <w:numPr>
          <w:ilvl w:val="0"/>
          <w:numId w:val="1"/>
        </w:numPr>
        <w:spacing w:after="200" w:line="276" w:lineRule="auto"/>
        <w:contextualSpacing/>
        <w:rPr>
          <w:rFonts w:eastAsia="Arial Unicode MS" w:cs="Arial Unicode MS"/>
        </w:rPr>
      </w:pPr>
      <w:r>
        <w:rPr>
          <w:rFonts w:eastAsia="Arial Unicode MS" w:cs="Arial Unicode MS"/>
        </w:rPr>
        <w:t>2,1 milliards € </w:t>
      </w:r>
      <w:r w:rsidRPr="00EE083F">
        <w:rPr>
          <w:rFonts w:eastAsia="Arial Unicode MS" w:cs="Arial Unicode MS"/>
        </w:rPr>
        <w:t xml:space="preserve"> pour la coopération t</w:t>
      </w:r>
      <w:r>
        <w:rPr>
          <w:rFonts w:eastAsia="Arial Unicode MS" w:cs="Arial Unicode MS"/>
        </w:rPr>
        <w:t xml:space="preserve">ransnationale (programmes </w:t>
      </w:r>
      <w:r w:rsidRPr="00EE083F">
        <w:rPr>
          <w:rFonts w:eastAsia="Arial Unicode MS" w:cs="Arial Unicode MS"/>
        </w:rPr>
        <w:t>INTERREG VB</w:t>
      </w:r>
      <w:r>
        <w:rPr>
          <w:rFonts w:eastAsia="Arial Unicode MS" w:cs="Arial Unicode MS"/>
        </w:rPr>
        <w:t>) ;</w:t>
      </w:r>
    </w:p>
    <w:p w:rsidR="009B64CE" w:rsidRPr="0009562C" w:rsidRDefault="009B64CE" w:rsidP="009B64CE">
      <w:pPr>
        <w:numPr>
          <w:ilvl w:val="0"/>
          <w:numId w:val="1"/>
        </w:numPr>
        <w:spacing w:after="200" w:line="276" w:lineRule="auto"/>
        <w:contextualSpacing/>
        <w:rPr>
          <w:rFonts w:eastAsia="Arial Unicode MS" w:cs="Arial Unicode MS"/>
        </w:rPr>
      </w:pPr>
      <w:r w:rsidRPr="00EE083F">
        <w:rPr>
          <w:rFonts w:eastAsia="Arial Unicode MS" w:cs="Arial Unicode MS"/>
        </w:rPr>
        <w:t>500 millions €</w:t>
      </w:r>
      <w:r>
        <w:rPr>
          <w:rFonts w:eastAsia="Arial Unicode MS" w:cs="Arial Unicode MS"/>
        </w:rPr>
        <w:t xml:space="preserve"> </w:t>
      </w:r>
      <w:r w:rsidRPr="00EE083F">
        <w:rPr>
          <w:rFonts w:eastAsia="Arial Unicode MS" w:cs="Arial Unicode MS"/>
        </w:rPr>
        <w:t>pou</w:t>
      </w:r>
      <w:r>
        <w:rPr>
          <w:rFonts w:eastAsia="Arial Unicode MS" w:cs="Arial Unicode MS"/>
        </w:rPr>
        <w:t xml:space="preserve">r la coopération interrégionale (programmes </w:t>
      </w:r>
      <w:r w:rsidRPr="00EE083F">
        <w:rPr>
          <w:rFonts w:eastAsia="Arial Unicode MS" w:cs="Arial Unicode MS"/>
        </w:rPr>
        <w:t>INTERREG VC</w:t>
      </w:r>
      <w:r>
        <w:rPr>
          <w:rFonts w:eastAsia="Arial Unicode MS" w:cs="Arial Unicode MS"/>
        </w:rPr>
        <w:t>).</w:t>
      </w:r>
    </w:p>
    <w:p w:rsidR="009B64CE" w:rsidRPr="00EE083F" w:rsidRDefault="009B64CE" w:rsidP="009B64CE">
      <w:pPr>
        <w:spacing w:before="0" w:after="0" w:line="276" w:lineRule="auto"/>
        <w:rPr>
          <w:rFonts w:eastAsia="Arial Unicode MS" w:cs="Arial Unicode MS"/>
        </w:rPr>
      </w:pPr>
      <w:r w:rsidRPr="00EE083F">
        <w:rPr>
          <w:rFonts w:eastAsia="Arial Unicode MS" w:cs="Arial Unicode MS"/>
        </w:rPr>
        <w:t>Le programme URBACT III fait partie d’INTERREG VC et contribue donc à l’objectif de coopération int</w:t>
      </w:r>
      <w:r>
        <w:rPr>
          <w:rFonts w:eastAsia="Arial Unicode MS" w:cs="Arial Unicode MS"/>
        </w:rPr>
        <w:t>errégionale, au même titre que l</w:t>
      </w:r>
      <w:r w:rsidRPr="00EE083F">
        <w:rPr>
          <w:rFonts w:eastAsia="Arial Unicode MS" w:cs="Arial Unicode MS"/>
        </w:rPr>
        <w:t>es programmes INTERACT</w:t>
      </w:r>
      <w:r>
        <w:rPr>
          <w:rFonts w:eastAsia="Arial Unicode MS" w:cs="Arial Unicode MS"/>
        </w:rPr>
        <w:t xml:space="preserve"> III,</w:t>
      </w:r>
      <w:r w:rsidRPr="00EE083F">
        <w:rPr>
          <w:rFonts w:eastAsia="Arial Unicode MS" w:cs="Arial Unicode MS"/>
        </w:rPr>
        <w:t xml:space="preserve"> ESPON</w:t>
      </w:r>
      <w:r>
        <w:rPr>
          <w:rFonts w:eastAsia="Arial Unicode MS" w:cs="Arial Unicode MS"/>
        </w:rPr>
        <w:t xml:space="preserve"> 2020 et INTERREG Europe</w:t>
      </w:r>
      <w:r w:rsidRPr="00EE083F">
        <w:rPr>
          <w:rFonts w:eastAsia="Arial Unicode MS" w:cs="Arial Unicode MS"/>
        </w:rPr>
        <w:t>. URBACT III (2014-2020)</w:t>
      </w:r>
      <w:r>
        <w:rPr>
          <w:rFonts w:eastAsia="Arial Unicode MS" w:cs="Arial Unicode MS"/>
        </w:rPr>
        <w:t>, doté d’un budget total de 96,3 millions €,</w:t>
      </w:r>
      <w:r w:rsidRPr="00EE083F">
        <w:rPr>
          <w:rFonts w:eastAsia="Arial Unicode MS" w:cs="Arial Unicode MS"/>
        </w:rPr>
        <w:t xml:space="preserve"> prend la suite du programme URBACT II</w:t>
      </w:r>
      <w:r>
        <w:rPr>
          <w:rFonts w:eastAsia="Arial Unicode MS" w:cs="Arial Unicode MS"/>
        </w:rPr>
        <w:t>,</w:t>
      </w:r>
      <w:r w:rsidRPr="00EE083F">
        <w:rPr>
          <w:rFonts w:eastAsia="Arial Unicode MS" w:cs="Arial Unicode MS"/>
        </w:rPr>
        <w:t xml:space="preserve"> mis en œuvre en 2007-2013.</w:t>
      </w:r>
    </w:p>
    <w:p w:rsidR="009B64CE" w:rsidRDefault="009B64CE" w:rsidP="009B64CE">
      <w:pPr>
        <w:spacing w:line="276" w:lineRule="auto"/>
        <w:rPr>
          <w:rFonts w:eastAsia="Arial Unicode MS" w:cs="Arial Unicode MS"/>
        </w:rPr>
      </w:pPr>
      <w:r w:rsidRPr="00A67BC3">
        <w:rPr>
          <w:rStyle w:val="Titre1Car"/>
          <w:color w:val="C10435"/>
          <w:sz w:val="20"/>
          <w:szCs w:val="20"/>
        </w:rPr>
        <w:t>URBACT</w:t>
      </w:r>
      <w:r w:rsidRPr="0071495F">
        <w:rPr>
          <w:rFonts w:eastAsia="Arial Unicode MS" w:cs="Arial Unicode MS"/>
          <w:b/>
          <w:color w:val="5B9BD5" w:themeColor="accent1"/>
        </w:rPr>
        <w:t xml:space="preserve"> </w:t>
      </w:r>
      <w:r>
        <w:rPr>
          <w:rFonts w:eastAsia="Arial Unicode MS" w:cs="Arial Unicode MS"/>
        </w:rPr>
        <w:t>est un programme d’échange et d’apprentissage servant</w:t>
      </w:r>
      <w:r w:rsidRPr="00EE083F">
        <w:rPr>
          <w:rFonts w:eastAsia="Arial Unicode MS" w:cs="Arial Unicode MS"/>
        </w:rPr>
        <w:t xml:space="preserve"> à faciliter et à financer les échanges d’expériences entre les villes et les régions européennes </w:t>
      </w:r>
      <w:r>
        <w:rPr>
          <w:rFonts w:eastAsia="Arial Unicode MS" w:cs="Arial Unicode MS"/>
        </w:rPr>
        <w:t xml:space="preserve">à </w:t>
      </w:r>
      <w:r w:rsidRPr="00EE083F">
        <w:rPr>
          <w:rFonts w:eastAsia="Arial Unicode MS" w:cs="Arial Unicode MS"/>
        </w:rPr>
        <w:t>travers l’organisation de réseaux thématiques ou de groupes de travail.</w:t>
      </w:r>
      <w:r>
        <w:rPr>
          <w:rFonts w:eastAsia="Arial Unicode MS" w:cs="Arial Unicode MS"/>
        </w:rPr>
        <w:t xml:space="preserve"> URBACT ne finance pas d’investissement ni de projets pilotes. </w:t>
      </w:r>
    </w:p>
    <w:p w:rsidR="009B64CE" w:rsidRDefault="009B64CE" w:rsidP="009B64CE">
      <w:pPr>
        <w:spacing w:line="276" w:lineRule="auto"/>
        <w:rPr>
          <w:rFonts w:eastAsia="Arial Unicode MS" w:cs="Arial Unicode MS"/>
        </w:rPr>
      </w:pPr>
    </w:p>
    <w:p w:rsidR="009B64CE" w:rsidRDefault="009B64CE" w:rsidP="009B64CE">
      <w:pPr>
        <w:spacing w:line="276" w:lineRule="auto"/>
        <w:rPr>
          <w:rFonts w:eastAsia="Arial Unicode MS" w:cs="Arial Unicode MS"/>
        </w:rPr>
      </w:pPr>
    </w:p>
    <w:p w:rsidR="009B64CE" w:rsidRPr="008E5722" w:rsidRDefault="009B64CE" w:rsidP="009B64CE">
      <w:pPr>
        <w:spacing w:line="276" w:lineRule="auto"/>
        <w:rPr>
          <w:rFonts w:eastAsia="Arial Unicode MS" w:cs="Arial Unicode MS"/>
        </w:rPr>
      </w:pPr>
    </w:p>
    <w:p w:rsidR="009B64CE" w:rsidRPr="0009562C" w:rsidRDefault="009B64CE" w:rsidP="009B64CE"/>
    <w:p w:rsidR="009B64CE" w:rsidRPr="00A67BC3" w:rsidRDefault="009B64CE" w:rsidP="009B64CE">
      <w:pPr>
        <w:pStyle w:val="Titre1"/>
        <w:spacing w:line="276" w:lineRule="auto"/>
        <w:rPr>
          <w:color w:val="C10435"/>
        </w:rPr>
      </w:pPr>
      <w:r w:rsidRPr="00A67BC3">
        <w:rPr>
          <w:color w:val="C10435"/>
        </w:rPr>
        <w:t>Qui peut participer ?</w:t>
      </w:r>
    </w:p>
    <w:p w:rsidR="009B64CE" w:rsidRDefault="009B64CE" w:rsidP="009B64CE">
      <w:pPr>
        <w:spacing w:line="276" w:lineRule="auto"/>
        <w:rPr>
          <w:rFonts w:eastAsia="Arial Unicode MS" w:cs="Arial Unicode MS"/>
        </w:rPr>
      </w:pPr>
      <w:r w:rsidRPr="00EE083F">
        <w:rPr>
          <w:rFonts w:eastAsia="Arial Unicode MS" w:cs="Arial Unicode MS"/>
        </w:rPr>
        <w:t>Les princip</w:t>
      </w:r>
      <w:r>
        <w:rPr>
          <w:rFonts w:eastAsia="Arial Unicode MS" w:cs="Arial Unicode MS"/>
        </w:rPr>
        <w:t xml:space="preserve">aux </w:t>
      </w:r>
      <w:r w:rsidRPr="00EE083F">
        <w:rPr>
          <w:rFonts w:eastAsia="Arial Unicode MS" w:cs="Arial Unicode MS"/>
        </w:rPr>
        <w:t xml:space="preserve">destinataires du programme URBACT </w:t>
      </w:r>
      <w:r>
        <w:rPr>
          <w:rFonts w:eastAsia="Arial Unicode MS" w:cs="Arial Unicode MS"/>
        </w:rPr>
        <w:t xml:space="preserve">III </w:t>
      </w:r>
      <w:r w:rsidRPr="00EE083F">
        <w:rPr>
          <w:rFonts w:eastAsia="Arial Unicode MS" w:cs="Arial Unicode MS"/>
        </w:rPr>
        <w:t>sont les villes des 28 Etats membres</w:t>
      </w:r>
      <w:r>
        <w:rPr>
          <w:rFonts w:eastAsia="Arial Unicode MS" w:cs="Arial Unicode MS"/>
        </w:rPr>
        <w:t xml:space="preserve"> de l’UE</w:t>
      </w:r>
      <w:r w:rsidRPr="00EE083F">
        <w:rPr>
          <w:rFonts w:eastAsia="Arial Unicode MS" w:cs="Arial Unicode MS"/>
        </w:rPr>
        <w:t>, de la Norvège et de la Suisse</w:t>
      </w:r>
      <w:r>
        <w:rPr>
          <w:rFonts w:eastAsia="Arial Unicode MS" w:cs="Arial Unicode MS"/>
        </w:rPr>
        <w:t xml:space="preserve"> (ces dernières ne bénéficiant pas du cofinancement FEDER)</w:t>
      </w:r>
      <w:r w:rsidRPr="00EE083F">
        <w:rPr>
          <w:rFonts w:eastAsia="Arial Unicode MS" w:cs="Arial Unicode MS"/>
        </w:rPr>
        <w:t xml:space="preserve">. </w:t>
      </w:r>
      <w:r>
        <w:rPr>
          <w:rFonts w:eastAsia="Arial Unicode MS" w:cs="Arial Unicode MS"/>
        </w:rPr>
        <w:t>Les pays en pré-adhésion à l’UE et tout autre pays dans le monde ont la possibilité de participer à leur frais.</w:t>
      </w:r>
    </w:p>
    <w:p w:rsidR="009B64CE" w:rsidRPr="0009562C" w:rsidRDefault="009B64CE" w:rsidP="009B64CE">
      <w:pPr>
        <w:spacing w:line="276" w:lineRule="auto"/>
        <w:rPr>
          <w:rFonts w:eastAsia="Arial Unicode MS" w:cs="Arial Unicode MS"/>
          <w:b/>
        </w:rPr>
      </w:pPr>
      <w:r w:rsidRPr="00EE083F">
        <w:rPr>
          <w:rFonts w:eastAsia="Arial Unicode MS" w:cs="Arial Unicode MS"/>
        </w:rPr>
        <w:t xml:space="preserve">Les villes </w:t>
      </w:r>
      <w:r>
        <w:rPr>
          <w:rFonts w:eastAsia="Arial Unicode MS" w:cs="Arial Unicode MS"/>
        </w:rPr>
        <w:t>peuvent être</w:t>
      </w:r>
      <w:r w:rsidRPr="00EE083F">
        <w:rPr>
          <w:rFonts w:eastAsia="Arial Unicode MS" w:cs="Arial Unicode MS"/>
        </w:rPr>
        <w:t xml:space="preserve"> de toute taille</w:t>
      </w:r>
      <w:r>
        <w:rPr>
          <w:rFonts w:eastAsia="Arial Unicode MS" w:cs="Arial Unicode MS"/>
        </w:rPr>
        <w:t xml:space="preserve"> et comprennent</w:t>
      </w:r>
      <w:r w:rsidRPr="00EE083F">
        <w:rPr>
          <w:rFonts w:eastAsia="Arial Unicode MS" w:cs="Arial Unicode MS"/>
        </w:rPr>
        <w:t xml:space="preserve"> les municipalités, </w:t>
      </w:r>
      <w:r>
        <w:rPr>
          <w:rFonts w:eastAsia="Arial Unicode MS" w:cs="Arial Unicode MS"/>
        </w:rPr>
        <w:t>les métropoles, l</w:t>
      </w:r>
      <w:r w:rsidRPr="00EE083F">
        <w:rPr>
          <w:rFonts w:eastAsia="Arial Unicode MS" w:cs="Arial Unicode MS"/>
        </w:rPr>
        <w:t>es agglomérations</w:t>
      </w:r>
      <w:r>
        <w:rPr>
          <w:rFonts w:eastAsia="Arial Unicode MS" w:cs="Arial Unicode MS"/>
        </w:rPr>
        <w:t>, les agences etc</w:t>
      </w:r>
      <w:r w:rsidRPr="00EE083F">
        <w:rPr>
          <w:rFonts w:eastAsia="Arial Unicode MS" w:cs="Arial Unicode MS"/>
        </w:rPr>
        <w:t>.</w:t>
      </w:r>
      <w:r>
        <w:rPr>
          <w:rFonts w:eastAsia="Arial Unicode MS" w:cs="Arial Unicode MS"/>
        </w:rPr>
        <w:t xml:space="preserve"> </w:t>
      </w:r>
      <w:r w:rsidRPr="00EE083F">
        <w:rPr>
          <w:rFonts w:eastAsia="Arial Unicode MS" w:cs="Arial Unicode MS"/>
        </w:rPr>
        <w:t xml:space="preserve">Cependant d’autres types de partenaires peuvent aussi participer à des projets URBACT : </w:t>
      </w:r>
      <w:r>
        <w:rPr>
          <w:rFonts w:eastAsia="Arial Unicode MS" w:cs="Arial Unicode MS"/>
        </w:rPr>
        <w:t>les agences locales ; l</w:t>
      </w:r>
      <w:r w:rsidRPr="00EE083F">
        <w:rPr>
          <w:rFonts w:eastAsia="Arial Unicode MS" w:cs="Arial Unicode MS"/>
        </w:rPr>
        <w:t>es autorités locales, régionales</w:t>
      </w:r>
      <w:r>
        <w:rPr>
          <w:rFonts w:eastAsia="Arial Unicode MS" w:cs="Arial Unicode MS"/>
        </w:rPr>
        <w:t xml:space="preserve"> et nationales ; ainsi que les universités et les</w:t>
      </w:r>
      <w:r w:rsidRPr="00EE083F">
        <w:rPr>
          <w:rFonts w:eastAsia="Arial Unicode MS" w:cs="Arial Unicode MS"/>
        </w:rPr>
        <w:t xml:space="preserve"> instituts de recherche</w:t>
      </w:r>
      <w:r w:rsidRPr="00EE083F">
        <w:rPr>
          <w:rFonts w:eastAsia="Arial Unicode MS" w:cs="Arial Unicode MS"/>
          <w:b/>
        </w:rPr>
        <w:t xml:space="preserve">. </w:t>
      </w:r>
      <w:r w:rsidRPr="00EE083F">
        <w:rPr>
          <w:rFonts w:eastAsia="Arial Unicode MS" w:cs="Arial Unicode MS"/>
        </w:rPr>
        <w:t>Tous les bénéficiaires doivent être des entités publiques.</w:t>
      </w:r>
    </w:p>
    <w:p w:rsidR="009B64CE" w:rsidRPr="00A67BC3" w:rsidRDefault="009B64CE" w:rsidP="009B64CE">
      <w:pPr>
        <w:pStyle w:val="Titre1"/>
        <w:rPr>
          <w:color w:val="C10435"/>
        </w:rPr>
      </w:pPr>
      <w:r w:rsidRPr="00A67BC3">
        <w:rPr>
          <w:color w:val="C10435"/>
        </w:rPr>
        <w:t>Quels sont les objectifs du programme ?</w:t>
      </w:r>
    </w:p>
    <w:p w:rsidR="009B64CE" w:rsidRDefault="009B64CE" w:rsidP="009B64CE">
      <w:pPr>
        <w:spacing w:line="240" w:lineRule="auto"/>
        <w:rPr>
          <w:rFonts w:eastAsia="Arial Unicode MS" w:cs="Arial Unicode MS"/>
        </w:rPr>
      </w:pPr>
      <w:r>
        <w:rPr>
          <w:rFonts w:eastAsia="Arial Unicode MS" w:cs="Arial Unicode MS"/>
        </w:rPr>
        <w:t xml:space="preserve">URBACT III encourage le développement durable et intégré en milieu urbain. Il permet aux villes de travailler ensemble et de développer des solutions à des défis urbains communs, grâce aux échanges d’expériences et de bonnes pratiques, et d’ainsi améliorer les politiques urbaines. </w:t>
      </w:r>
    </w:p>
    <w:p w:rsidR="009B64CE" w:rsidRDefault="009B64CE" w:rsidP="009B64CE">
      <w:pPr>
        <w:spacing w:line="276" w:lineRule="auto"/>
        <w:rPr>
          <w:rFonts w:eastAsia="Arial Unicode MS" w:cs="Arial Unicode MS"/>
        </w:rPr>
      </w:pPr>
    </w:p>
    <w:p w:rsidR="009B64CE" w:rsidRPr="00A67BC3" w:rsidRDefault="009B64CE" w:rsidP="009B64CE">
      <w:pPr>
        <w:pStyle w:val="Titre2"/>
        <w:rPr>
          <w:color w:val="C10435"/>
        </w:rPr>
      </w:pPr>
      <w:r w:rsidRPr="00A67BC3">
        <w:rPr>
          <w:color w:val="C10435"/>
        </w:rPr>
        <w:t>Le programme URBACT III s’organise autour de quatre objectifs principaux:</w:t>
      </w:r>
    </w:p>
    <w:p w:rsidR="009B64CE" w:rsidRPr="00EE083F" w:rsidRDefault="009B64CE" w:rsidP="009B64CE">
      <w:pPr>
        <w:numPr>
          <w:ilvl w:val="0"/>
          <w:numId w:val="4"/>
        </w:numPr>
        <w:spacing w:after="200" w:line="240" w:lineRule="auto"/>
        <w:contextualSpacing/>
        <w:rPr>
          <w:rFonts w:eastAsia="Arial Unicode MS" w:cs="Arial Unicode MS"/>
        </w:rPr>
      </w:pPr>
      <w:r w:rsidRPr="00EE083F">
        <w:rPr>
          <w:rFonts w:eastAsia="Arial Unicode MS" w:cs="Arial Unicode MS"/>
        </w:rPr>
        <w:t>Améliorer la capacité des villes à gérer des politiques et des pratiques urbaines durables</w:t>
      </w:r>
      <w:r>
        <w:rPr>
          <w:rFonts w:eastAsia="Arial Unicode MS" w:cs="Arial Unicode MS"/>
        </w:rPr>
        <w:t>,</w:t>
      </w:r>
      <w:r w:rsidRPr="00EE083F">
        <w:rPr>
          <w:rFonts w:eastAsia="Arial Unicode MS" w:cs="Arial Unicode MS"/>
        </w:rPr>
        <w:t xml:space="preserve"> de </w:t>
      </w:r>
      <w:r>
        <w:rPr>
          <w:rFonts w:eastAsia="Arial Unicode MS" w:cs="Arial Unicode MS"/>
        </w:rPr>
        <w:t>façon intégrée et participative (actions correspondantes : renforcement des capacités) ;</w:t>
      </w:r>
    </w:p>
    <w:p w:rsidR="009B64CE" w:rsidRPr="00EE083F" w:rsidRDefault="009B64CE" w:rsidP="009B64CE">
      <w:pPr>
        <w:numPr>
          <w:ilvl w:val="0"/>
          <w:numId w:val="4"/>
        </w:numPr>
        <w:spacing w:after="200" w:line="240" w:lineRule="auto"/>
        <w:contextualSpacing/>
        <w:rPr>
          <w:rFonts w:eastAsia="Arial Unicode MS" w:cs="Arial Unicode MS"/>
        </w:rPr>
      </w:pPr>
      <w:r>
        <w:rPr>
          <w:rFonts w:eastAsia="Arial Unicode MS" w:cs="Arial Unicode MS"/>
        </w:rPr>
        <w:t>Perfectionner</w:t>
      </w:r>
      <w:r w:rsidRPr="00EE083F">
        <w:rPr>
          <w:rFonts w:eastAsia="Arial Unicode MS" w:cs="Arial Unicode MS"/>
        </w:rPr>
        <w:t xml:space="preserve"> la </w:t>
      </w:r>
      <w:r>
        <w:rPr>
          <w:rFonts w:eastAsia="Arial Unicode MS" w:cs="Arial Unicode MS"/>
        </w:rPr>
        <w:t>conception</w:t>
      </w:r>
      <w:r w:rsidRPr="00EE083F">
        <w:rPr>
          <w:rFonts w:eastAsia="Arial Unicode MS" w:cs="Arial Unicode MS"/>
        </w:rPr>
        <w:t xml:space="preserve"> de politiques et de pratiques ur</w:t>
      </w:r>
      <w:r>
        <w:rPr>
          <w:rFonts w:eastAsia="Arial Unicode MS" w:cs="Arial Unicode MS"/>
        </w:rPr>
        <w:t>baines durables dans les villes (actions correspondantes : réseaux de planification des actions) ;</w:t>
      </w:r>
    </w:p>
    <w:p w:rsidR="009B64CE" w:rsidRDefault="009B64CE" w:rsidP="009B64CE">
      <w:pPr>
        <w:numPr>
          <w:ilvl w:val="0"/>
          <w:numId w:val="4"/>
        </w:numPr>
        <w:spacing w:after="200" w:line="240" w:lineRule="auto"/>
        <w:contextualSpacing/>
        <w:rPr>
          <w:rFonts w:eastAsia="Arial Unicode MS" w:cs="Arial Unicode MS"/>
        </w:rPr>
      </w:pPr>
      <w:r>
        <w:rPr>
          <w:rFonts w:eastAsia="Arial Unicode MS" w:cs="Arial Unicode MS"/>
        </w:rPr>
        <w:t>Renforcer</w:t>
      </w:r>
      <w:r w:rsidRPr="00EE083F">
        <w:rPr>
          <w:rFonts w:eastAsia="Arial Unicode MS" w:cs="Arial Unicode MS"/>
        </w:rPr>
        <w:t xml:space="preserve"> la mise en œuvre de</w:t>
      </w:r>
      <w:r>
        <w:rPr>
          <w:rFonts w:eastAsia="Arial Unicode MS" w:cs="Arial Unicode MS"/>
        </w:rPr>
        <w:t>s</w:t>
      </w:r>
      <w:r w:rsidRPr="00EE083F">
        <w:rPr>
          <w:rFonts w:eastAsia="Arial Unicode MS" w:cs="Arial Unicode MS"/>
        </w:rPr>
        <w:t xml:space="preserve"> stratégies et d</w:t>
      </w:r>
      <w:r>
        <w:rPr>
          <w:rFonts w:eastAsia="Arial Unicode MS" w:cs="Arial Unicode MS"/>
        </w:rPr>
        <w:t xml:space="preserve">es </w:t>
      </w:r>
      <w:r w:rsidRPr="00EE083F">
        <w:rPr>
          <w:rFonts w:eastAsia="Arial Unicode MS" w:cs="Arial Unicode MS"/>
        </w:rPr>
        <w:t>actions urbaines durabl</w:t>
      </w:r>
      <w:r>
        <w:rPr>
          <w:rFonts w:eastAsia="Arial Unicode MS" w:cs="Arial Unicode MS"/>
        </w:rPr>
        <w:t>es et intégrées (actions correspondantes : réseaux de mise en œuvre et réseaux de transfert) ;</w:t>
      </w:r>
    </w:p>
    <w:p w:rsidR="009B64CE" w:rsidRPr="00956849" w:rsidRDefault="009B64CE" w:rsidP="009B64CE">
      <w:pPr>
        <w:numPr>
          <w:ilvl w:val="0"/>
          <w:numId w:val="4"/>
        </w:numPr>
        <w:spacing w:after="200" w:line="240" w:lineRule="auto"/>
        <w:contextualSpacing/>
        <w:rPr>
          <w:rFonts w:eastAsia="Arial Unicode MS" w:cs="Arial Unicode MS"/>
        </w:rPr>
      </w:pPr>
      <w:r w:rsidRPr="00956849">
        <w:rPr>
          <w:rFonts w:eastAsia="Arial Unicode MS" w:cs="Arial Unicode MS"/>
        </w:rPr>
        <w:t>S’assurer que les acteurs et les décideurs</w:t>
      </w:r>
      <w:r>
        <w:rPr>
          <w:rFonts w:eastAsia="Arial Unicode MS" w:cs="Arial Unicode MS"/>
        </w:rPr>
        <w:t xml:space="preserve"> politiques,</w:t>
      </w:r>
      <w:r w:rsidRPr="00956849">
        <w:rPr>
          <w:rFonts w:eastAsia="Arial Unicode MS" w:cs="Arial Unicode MS"/>
        </w:rPr>
        <w:t xml:space="preserve"> à tous les niv</w:t>
      </w:r>
      <w:r>
        <w:rPr>
          <w:rFonts w:eastAsia="Arial Unicode MS" w:cs="Arial Unicode MS"/>
        </w:rPr>
        <w:t>eaux, aient</w:t>
      </w:r>
      <w:r w:rsidRPr="00956849">
        <w:rPr>
          <w:rFonts w:eastAsia="Arial Unicode MS" w:cs="Arial Unicode MS"/>
        </w:rPr>
        <w:t xml:space="preserve"> accès aux connaissances et partagent leur savoir-faire concernant tous les aspects du développement urbain durable dans le but d’optimiser les pol</w:t>
      </w:r>
      <w:r>
        <w:rPr>
          <w:rFonts w:eastAsia="Arial Unicode MS" w:cs="Arial Unicode MS"/>
        </w:rPr>
        <w:t>itiques de développement urbain (actions correspondantes : activités de capitalisation et de dissémination).</w:t>
      </w:r>
    </w:p>
    <w:p w:rsidR="009B64CE" w:rsidRPr="00A863BD" w:rsidRDefault="009B64CE" w:rsidP="009B64CE">
      <w:pPr>
        <w:rPr>
          <w:rFonts w:eastAsia="Arial Unicode MS" w:cs="Arial Unicode MS"/>
        </w:rPr>
      </w:pPr>
      <w:bookmarkStart w:id="0" w:name="_GoBack"/>
      <w:bookmarkEnd w:id="0"/>
    </w:p>
    <w:p w:rsidR="009B64CE" w:rsidRDefault="009B64CE" w:rsidP="009B64CE">
      <w:pPr>
        <w:pStyle w:val="Titre1"/>
        <w:rPr>
          <w:color w:val="C10435"/>
        </w:rPr>
      </w:pPr>
    </w:p>
    <w:p w:rsidR="009B64CE" w:rsidRDefault="009B64CE" w:rsidP="009B64CE">
      <w:pPr>
        <w:pStyle w:val="Titre1"/>
        <w:rPr>
          <w:color w:val="C10435"/>
        </w:rPr>
      </w:pPr>
    </w:p>
    <w:p w:rsidR="009B64CE" w:rsidRPr="00A67BC3" w:rsidRDefault="009B64CE" w:rsidP="009B64CE">
      <w:pPr>
        <w:pStyle w:val="Titre1"/>
        <w:rPr>
          <w:color w:val="C10435"/>
        </w:rPr>
      </w:pPr>
      <w:r w:rsidRPr="00A67BC3">
        <w:rPr>
          <w:color w:val="C10435"/>
        </w:rPr>
        <w:lastRenderedPageBreak/>
        <w:t>Comment fonctionne le programme URBACT ?</w:t>
      </w:r>
    </w:p>
    <w:p w:rsidR="009B64CE" w:rsidRPr="0071495F" w:rsidRDefault="009B64CE" w:rsidP="009B64CE">
      <w:pPr>
        <w:spacing w:line="240" w:lineRule="auto"/>
        <w:rPr>
          <w:rFonts w:eastAsia="Arial Unicode MS" w:cs="Arial Unicode MS"/>
        </w:rPr>
      </w:pPr>
      <w:r w:rsidRPr="00817F0A">
        <w:rPr>
          <w:rFonts w:eastAsia="Arial Unicode MS" w:cs="Arial Unicode MS"/>
        </w:rPr>
        <w:t xml:space="preserve">Pour atteindre ces objectifs spécifiques, URBACT III </w:t>
      </w:r>
      <w:r>
        <w:rPr>
          <w:rFonts w:eastAsia="Arial Unicode MS" w:cs="Arial Unicode MS"/>
        </w:rPr>
        <w:t>propose</w:t>
      </w:r>
      <w:r w:rsidRPr="00817F0A">
        <w:rPr>
          <w:rFonts w:eastAsia="Arial Unicode MS" w:cs="Arial Unicode MS"/>
        </w:rPr>
        <w:t xml:space="preserve"> </w:t>
      </w:r>
      <w:r w:rsidRPr="00A67BC3">
        <w:rPr>
          <w:rFonts w:eastAsia="Arial Unicode MS"/>
          <w:b/>
          <w:color w:val="C10435"/>
        </w:rPr>
        <w:t>trois types d’interventions</w:t>
      </w:r>
      <w:r w:rsidRPr="00A67BC3">
        <w:rPr>
          <w:rFonts w:eastAsia="Arial Unicode MS" w:cs="Arial Unicode MS"/>
          <w:color w:val="C10435"/>
        </w:rPr>
        <w:t> :</w:t>
      </w:r>
    </w:p>
    <w:p w:rsidR="009B64CE" w:rsidRDefault="009B64CE" w:rsidP="009B64CE">
      <w:pPr>
        <w:numPr>
          <w:ilvl w:val="0"/>
          <w:numId w:val="2"/>
        </w:numPr>
        <w:spacing w:after="200" w:line="240" w:lineRule="auto"/>
        <w:contextualSpacing/>
        <w:rPr>
          <w:rFonts w:eastAsia="Arial Unicode MS" w:cs="Arial Unicode MS"/>
        </w:rPr>
      </w:pPr>
      <w:r w:rsidRPr="00A67BC3">
        <w:rPr>
          <w:rStyle w:val="Titre1Car"/>
          <w:color w:val="C10435"/>
          <w:sz w:val="22"/>
          <w:szCs w:val="22"/>
        </w:rPr>
        <w:t>Echanges transnationaux</w:t>
      </w:r>
      <w:r w:rsidRPr="00A67BC3">
        <w:rPr>
          <w:rStyle w:val="Titre1Car"/>
          <w:color w:val="C10435"/>
        </w:rPr>
        <w:t> :</w:t>
      </w:r>
      <w:r w:rsidRPr="00A67BC3">
        <w:rPr>
          <w:rFonts w:eastAsia="Arial Unicode MS" w:cs="Arial Unicode MS"/>
          <w:color w:val="C10435"/>
        </w:rPr>
        <w:t xml:space="preserve"> </w:t>
      </w:r>
      <w:r w:rsidRPr="00EE083F">
        <w:rPr>
          <w:rFonts w:eastAsia="Arial Unicode MS" w:cs="Arial Unicode MS"/>
        </w:rPr>
        <w:t xml:space="preserve">afin de </w:t>
      </w:r>
      <w:r>
        <w:rPr>
          <w:rFonts w:eastAsia="Arial Unicode MS" w:cs="Arial Unicode MS"/>
        </w:rPr>
        <w:t xml:space="preserve">permettre aux villes européennes de travailler ensemble pour développer des stratégies de développement urbain intégré, encourager la coopération et réaffirmer le rôle clé des villes dans les changements sociétaux. </w:t>
      </w:r>
    </w:p>
    <w:p w:rsidR="009B64CE" w:rsidRPr="0071495F" w:rsidRDefault="009B64CE" w:rsidP="009B64CE">
      <w:pPr>
        <w:spacing w:after="200" w:line="240" w:lineRule="auto"/>
        <w:ind w:left="360" w:firstLine="348"/>
        <w:contextualSpacing/>
        <w:rPr>
          <w:rFonts w:eastAsia="Arial Unicode MS" w:cs="Arial Unicode MS"/>
        </w:rPr>
      </w:pPr>
      <w:r w:rsidRPr="006060CF">
        <w:rPr>
          <w:rFonts w:eastAsia="Arial Unicode MS" w:cs="Arial Unicode MS"/>
        </w:rPr>
        <w:t>Trois</w:t>
      </w:r>
      <w:r>
        <w:rPr>
          <w:rFonts w:eastAsia="Arial Unicode MS" w:cs="Arial Unicode MS"/>
        </w:rPr>
        <w:t xml:space="preserve"> types de</w:t>
      </w:r>
      <w:r w:rsidRPr="006060CF">
        <w:rPr>
          <w:rFonts w:eastAsia="Arial Unicode MS" w:cs="Arial Unicode MS"/>
        </w:rPr>
        <w:t xml:space="preserve"> réseaux </w:t>
      </w:r>
      <w:r>
        <w:rPr>
          <w:rFonts w:eastAsia="Arial Unicode MS" w:cs="Arial Unicode MS"/>
        </w:rPr>
        <w:t>assureront ces échanges transnationaux</w:t>
      </w:r>
      <w:r w:rsidRPr="006060CF">
        <w:rPr>
          <w:rFonts w:eastAsia="Arial Unicode MS" w:cs="Arial Unicode MS"/>
        </w:rPr>
        <w:t>:</w:t>
      </w:r>
    </w:p>
    <w:p w:rsidR="009B64CE" w:rsidRPr="00A24A75" w:rsidRDefault="009B64CE" w:rsidP="009B64CE">
      <w:pPr>
        <w:numPr>
          <w:ilvl w:val="0"/>
          <w:numId w:val="3"/>
        </w:numPr>
        <w:spacing w:after="200" w:line="240" w:lineRule="auto"/>
        <w:contextualSpacing/>
        <w:rPr>
          <w:rFonts w:eastAsia="Arial Unicode MS" w:cs="Arial Unicode MS"/>
          <w:color w:val="095880"/>
        </w:rPr>
      </w:pPr>
      <w:r w:rsidRPr="0071495F">
        <w:rPr>
          <w:rFonts w:eastAsia="Arial Unicode MS"/>
          <w:b/>
          <w:i/>
          <w:u w:val="single"/>
        </w:rPr>
        <w:t>Réseaux de planification des actions :</w:t>
      </w:r>
      <w:r w:rsidRPr="00A24A75">
        <w:rPr>
          <w:rFonts w:eastAsia="Arial Unicode MS" w:cs="Arial Unicode MS"/>
          <w:color w:val="095880"/>
        </w:rPr>
        <w:t xml:space="preserve"> </w:t>
      </w:r>
      <w:r w:rsidRPr="00A24A75">
        <w:rPr>
          <w:rFonts w:eastAsia="Arial Unicode MS" w:cs="Arial Unicode MS"/>
        </w:rPr>
        <w:t xml:space="preserve">ils s’adressent aux villes qui souhaitent concevoir une stratégie urbaine intégrée et durable, ainsi qu’un plan d’action. Ces réseaux permettront, aux villes et aux autorités locales qui en font partie, d’être soutenues par des experts et des pairs, afin de développer des stratégies et des plans d’action intégrés pour le développement urbain durable. Concrètement, les actions consisteront en des séminaires transnationaux (visites d’étude, etc.), la production de stratégies et de plans d’actions, l’implication des acteurs locaux dans le processus décisionnel, etc. </w:t>
      </w:r>
      <w:r w:rsidRPr="003965C2">
        <w:rPr>
          <w:rFonts w:eastAsia="Arial Unicode MS" w:cs="Arial Unicode MS"/>
        </w:rPr>
        <w:t>Ces réseaux doivent ainsi entrainer des échanges de pratiques concernant des challenges spécifiques entre les partenaires, des partages d’expériences, de problèmes, de solutions pour faire face aux défis urbains actuels. Les villes doivent dans un premier temps identifier un challenge politique. Puis, dans un deuxième temps réunir les parties prenantes du projet dans un « Groupe local URBACT » qui sera impliqué dans des activités d’échanges transnationaux et dans le développement d’un plan d’action intégré.</w:t>
      </w:r>
    </w:p>
    <w:p w:rsidR="009B64CE" w:rsidRPr="00A24A75" w:rsidRDefault="009B64CE" w:rsidP="009B64CE">
      <w:pPr>
        <w:numPr>
          <w:ilvl w:val="0"/>
          <w:numId w:val="3"/>
        </w:numPr>
        <w:spacing w:after="200" w:line="240" w:lineRule="auto"/>
        <w:contextualSpacing/>
        <w:rPr>
          <w:rFonts w:eastAsia="Arial Unicode MS" w:cs="Arial Unicode MS"/>
          <w:color w:val="095880"/>
        </w:rPr>
      </w:pPr>
      <w:r w:rsidRPr="0071495F">
        <w:rPr>
          <w:rFonts w:eastAsia="Arial Unicode MS"/>
          <w:b/>
          <w:i/>
          <w:u w:val="single"/>
        </w:rPr>
        <w:t>Réseaux de mise en œuvre :</w:t>
      </w:r>
      <w:r w:rsidRPr="00A24A75">
        <w:rPr>
          <w:rFonts w:eastAsia="Arial Unicode MS" w:cs="Arial Unicode MS"/>
          <w:color w:val="095880"/>
        </w:rPr>
        <w:t xml:space="preserve"> </w:t>
      </w:r>
      <w:r w:rsidRPr="00A24A75">
        <w:rPr>
          <w:rFonts w:eastAsia="Arial Unicode MS" w:cs="Arial Unicode MS"/>
        </w:rPr>
        <w:t>pour soutenir les villes dans la mise en place d’une stratégie intégrée et durable et d'actions. Ces réseaux permettront aux villes d’échanger sur les défis et solutions et, par un soutien mutuel, d’assurer une mise en œuvre efficace, de tirer les leçons de leurs expériences et de partager leurs résultats. Séminaires, visites d’étude, échanges de personnel, outils de suivi, expertises figurent parmi les actions qui pourront être menées dans le cadre des Réseaux de mise en œuvre.</w:t>
      </w:r>
      <w:r w:rsidRPr="00A24A75">
        <w:rPr>
          <w:rFonts w:eastAsia="Arial Unicode MS" w:cs="Arial Unicode MS"/>
          <w:color w:val="095880"/>
        </w:rPr>
        <w:t xml:space="preserve"> </w:t>
      </w:r>
    </w:p>
    <w:p w:rsidR="009B64CE" w:rsidRPr="00A24A75" w:rsidRDefault="009B64CE" w:rsidP="009B64CE">
      <w:pPr>
        <w:numPr>
          <w:ilvl w:val="0"/>
          <w:numId w:val="3"/>
        </w:numPr>
        <w:spacing w:after="200" w:line="240" w:lineRule="auto"/>
        <w:contextualSpacing/>
        <w:rPr>
          <w:rFonts w:eastAsia="Arial Unicode MS" w:cs="Arial Unicode MS"/>
          <w:color w:val="095880"/>
        </w:rPr>
      </w:pPr>
      <w:r w:rsidRPr="0071495F">
        <w:rPr>
          <w:rFonts w:eastAsia="Arial Unicode MS"/>
          <w:b/>
          <w:i/>
          <w:u w:val="single"/>
        </w:rPr>
        <w:t>Réseaux de transfert :</w:t>
      </w:r>
      <w:r w:rsidRPr="00A24A75">
        <w:rPr>
          <w:rFonts w:eastAsia="Arial Unicode MS" w:cs="Arial Unicode MS"/>
          <w:color w:val="095880"/>
        </w:rPr>
        <w:t xml:space="preserve"> </w:t>
      </w:r>
      <w:r w:rsidRPr="00A24A75">
        <w:rPr>
          <w:rFonts w:eastAsia="Arial Unicode MS" w:cs="Arial Unicode MS"/>
        </w:rPr>
        <w:t>pour les villes qui souhaitent transmettre une bonne pratique d’une ville à d’autres. Les actions consisteront à produire des descriptifs des pratiques à réutiliser, à organiser séminaires et visites, à offrir de l’expertise aux villes « bénéficiaires » du transfert pour suivre et évaluer le processus de transmission à chaque endroit, et enfin, à communiquer sur les activités et les résultats du réseau.</w:t>
      </w:r>
      <w:r w:rsidRPr="00A24A75">
        <w:rPr>
          <w:rFonts w:eastAsia="Arial Unicode MS" w:cs="Arial Unicode MS"/>
          <w:color w:val="095880"/>
        </w:rPr>
        <w:t xml:space="preserve"> </w:t>
      </w:r>
    </w:p>
    <w:p w:rsidR="009B64CE" w:rsidRPr="00A24A75" w:rsidRDefault="009B64CE" w:rsidP="009B64CE">
      <w:pPr>
        <w:spacing w:after="200" w:line="240" w:lineRule="auto"/>
        <w:ind w:left="1068"/>
        <w:contextualSpacing/>
        <w:rPr>
          <w:rFonts w:eastAsia="Arial Unicode MS" w:cs="Arial Unicode MS"/>
          <w:color w:val="095880"/>
        </w:rPr>
      </w:pPr>
    </w:p>
    <w:p w:rsidR="009B64CE" w:rsidRDefault="009B64CE" w:rsidP="009B64CE">
      <w:pPr>
        <w:pStyle w:val="Paragraphedeliste"/>
        <w:numPr>
          <w:ilvl w:val="0"/>
          <w:numId w:val="2"/>
        </w:numPr>
        <w:spacing w:after="200" w:line="240" w:lineRule="auto"/>
        <w:rPr>
          <w:rFonts w:eastAsia="Arial Unicode MS"/>
        </w:rPr>
      </w:pPr>
      <w:r w:rsidRPr="00A67BC3">
        <w:rPr>
          <w:rStyle w:val="Titre1Car"/>
          <w:color w:val="C10435"/>
          <w:sz w:val="22"/>
          <w:szCs w:val="22"/>
        </w:rPr>
        <w:t>Activités visant à renforcer les capacités :</w:t>
      </w:r>
      <w:r w:rsidRPr="00A67BC3">
        <w:rPr>
          <w:rStyle w:val="Titre1Car"/>
          <w:color w:val="C10435"/>
        </w:rPr>
        <w:t xml:space="preserve"> </w:t>
      </w:r>
      <w:r w:rsidRPr="0071495F">
        <w:rPr>
          <w:rFonts w:eastAsia="Arial Unicode MS"/>
        </w:rPr>
        <w:t xml:space="preserve">pour améliorer les capacités des « acteurs urbains » tels que les praticiens, les élus, les managers, afin de développer des approches intégrées et participatives à la conception et à la mise en œuvre des politiques publiques (au travers des universités URBACT, de séminaires transnationaux, ou d’autres activités). </w:t>
      </w:r>
    </w:p>
    <w:p w:rsidR="009B64CE" w:rsidRDefault="009B64CE" w:rsidP="009B64CE">
      <w:pPr>
        <w:pStyle w:val="Paragraphedeliste"/>
        <w:spacing w:after="200" w:line="240" w:lineRule="auto"/>
        <w:rPr>
          <w:rFonts w:eastAsia="Arial Unicode MS"/>
        </w:rPr>
      </w:pPr>
    </w:p>
    <w:p w:rsidR="009B64CE" w:rsidRPr="0071495F" w:rsidRDefault="009B64CE" w:rsidP="009B64CE">
      <w:pPr>
        <w:pStyle w:val="Paragraphedeliste"/>
        <w:numPr>
          <w:ilvl w:val="0"/>
          <w:numId w:val="2"/>
        </w:numPr>
        <w:spacing w:after="200" w:line="240" w:lineRule="auto"/>
        <w:rPr>
          <w:rFonts w:eastAsia="Arial Unicode MS"/>
        </w:rPr>
      </w:pPr>
      <w:r w:rsidRPr="00A67BC3">
        <w:rPr>
          <w:rStyle w:val="Titre1Car"/>
          <w:color w:val="C10435"/>
          <w:sz w:val="22"/>
        </w:rPr>
        <w:t>Capitalisation et dissémination des connaissances et des bonnes pratiques en Europe :</w:t>
      </w:r>
      <w:r w:rsidRPr="00A67BC3">
        <w:rPr>
          <w:color w:val="C10435"/>
          <w:sz w:val="14"/>
        </w:rPr>
        <w:t xml:space="preserve"> </w:t>
      </w:r>
      <w:r w:rsidRPr="00A1550D">
        <w:t xml:space="preserve">au travers de séminaires, de plateformes web, de publications et des points de contact nationaux. </w:t>
      </w:r>
    </w:p>
    <w:p w:rsidR="009B64CE" w:rsidRPr="00A61A34" w:rsidRDefault="009B64CE" w:rsidP="009B64CE">
      <w:pPr>
        <w:pStyle w:val="Corpsdetexte"/>
        <w:spacing w:line="240" w:lineRule="auto"/>
        <w:rPr>
          <w:rFonts w:ascii="Arial Unicode MS" w:eastAsia="Arial Unicode MS" w:hAnsi="Arial Unicode MS" w:cs="Arial Unicode MS"/>
          <w:sz w:val="20"/>
        </w:rPr>
      </w:pPr>
      <w:r>
        <w:rPr>
          <w:rFonts w:ascii="Arial Unicode MS" w:eastAsia="Arial Unicode MS" w:hAnsi="Arial Unicode MS" w:cs="Arial Unicode MS"/>
          <w:sz w:val="20"/>
        </w:rPr>
        <w:lastRenderedPageBreak/>
        <w:t xml:space="preserve">Les actions menées dans le cadre du programme URBACT III doivent s’inscrire dans l’un des </w:t>
      </w:r>
      <w:r>
        <w:rPr>
          <w:rFonts w:ascii="Arial Unicode MS" w:eastAsia="Arial Unicode MS" w:hAnsi="Arial Unicode MS" w:cs="Arial Unicode MS"/>
          <w:b/>
          <w:color w:val="C10435"/>
          <w:sz w:val="20"/>
        </w:rPr>
        <w:t>onze</w:t>
      </w:r>
      <w:r w:rsidRPr="00A67BC3">
        <w:rPr>
          <w:rFonts w:ascii="Arial Unicode MS" w:eastAsia="Arial Unicode MS" w:hAnsi="Arial Unicode MS" w:cs="Arial Unicode MS"/>
          <w:b/>
          <w:color w:val="C10435"/>
          <w:sz w:val="20"/>
        </w:rPr>
        <w:t xml:space="preserve"> objectifs thématiques</w:t>
      </w:r>
      <w:r w:rsidRPr="00A67BC3">
        <w:rPr>
          <w:rFonts w:ascii="Arial Unicode MS" w:eastAsia="Arial Unicode MS" w:hAnsi="Arial Unicode MS" w:cs="Arial Unicode MS"/>
          <w:color w:val="C10435"/>
          <w:sz w:val="20"/>
        </w:rPr>
        <w:t xml:space="preserve"> </w:t>
      </w:r>
      <w:r>
        <w:rPr>
          <w:rFonts w:ascii="Arial Unicode MS" w:eastAsia="Arial Unicode MS" w:hAnsi="Arial Unicode MS" w:cs="Arial Unicode MS"/>
          <w:sz w:val="20"/>
        </w:rPr>
        <w:t>(OT) suivants (définis pour l’ensemble de la politique régionale de l’UE)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Pr>
          <w:rFonts w:ascii="Arial Unicode MS" w:eastAsia="Arial Unicode MS" w:hAnsi="Arial Unicode MS" w:cs="Arial Unicode MS"/>
          <w:sz w:val="20"/>
        </w:rPr>
        <w:t>Renforcer la recherche, le développement technologique et l’innovation (OT1)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Améliorer l’accès et l’utilisation et la qualité des TIC (OT2)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Améliorer la compétitivité des PME (OT3)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Soutenir le changement vers une économie à faibles émissions de carbone (OT4)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Promouvoir l’adaptation au changement climatique, à la prévention des risques et au management (OT5)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Protéger l’environnement et promouvoir l’efficacité des ressources (OT6)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Promouvoir des transports durables et l’élimination des bouchons dans les réseaux d’infrastructures clés (OT7) ;</w:t>
      </w:r>
    </w:p>
    <w:p w:rsidR="009B64CE" w:rsidRPr="00674679"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Pr>
          <w:rFonts w:ascii="Arial Unicode MS" w:eastAsia="Arial Unicode MS" w:hAnsi="Arial Unicode MS" w:cs="Arial Unicode MS"/>
          <w:sz w:val="20"/>
        </w:rPr>
        <w:t xml:space="preserve">Promouvoir des emplois durables et de qualité, </w:t>
      </w:r>
      <w:r w:rsidRPr="00674679">
        <w:rPr>
          <w:rFonts w:ascii="Arial Unicode MS" w:eastAsia="Arial Unicode MS" w:hAnsi="Arial Unicode MS" w:cs="Arial Unicode MS"/>
          <w:sz w:val="20"/>
        </w:rPr>
        <w:t>et soutenir la mobilité professionnelle (OT8)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Promouvoir l’inclusion sociale et la lutte contre la pauvreté</w:t>
      </w:r>
      <w:r>
        <w:rPr>
          <w:rFonts w:ascii="Arial Unicode MS" w:eastAsia="Arial Unicode MS" w:hAnsi="Arial Unicode MS" w:cs="Arial Unicode MS"/>
          <w:sz w:val="20"/>
        </w:rPr>
        <w:t xml:space="preserve"> et contre toute forme de discrimination</w:t>
      </w:r>
      <w:r w:rsidRPr="0009562C">
        <w:rPr>
          <w:rFonts w:ascii="Arial Unicode MS" w:eastAsia="Arial Unicode MS" w:hAnsi="Arial Unicode MS" w:cs="Arial Unicode MS"/>
          <w:sz w:val="20"/>
        </w:rPr>
        <w:t xml:space="preserve"> (OT9) ;</w:t>
      </w:r>
    </w:p>
    <w:p w:rsidR="009B64CE"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sidRPr="0009562C">
        <w:rPr>
          <w:rFonts w:ascii="Arial Unicode MS" w:eastAsia="Arial Unicode MS" w:hAnsi="Arial Unicode MS" w:cs="Arial Unicode MS"/>
          <w:sz w:val="20"/>
        </w:rPr>
        <w:t>Investir dans l’éducation, les compétences et l’apprentissage tout au long de la vie en développement des infrastructures de formations (OT10).</w:t>
      </w:r>
    </w:p>
    <w:p w:rsidR="009B64CE" w:rsidRPr="0009562C" w:rsidRDefault="009B64CE" w:rsidP="009B64CE">
      <w:pPr>
        <w:pStyle w:val="Corpsdetexte"/>
        <w:numPr>
          <w:ilvl w:val="0"/>
          <w:numId w:val="5"/>
        </w:numPr>
        <w:spacing w:after="0" w:line="240" w:lineRule="auto"/>
        <w:ind w:left="714" w:hanging="357"/>
        <w:rPr>
          <w:rFonts w:ascii="Arial Unicode MS" w:eastAsia="Arial Unicode MS" w:hAnsi="Arial Unicode MS" w:cs="Arial Unicode MS"/>
          <w:sz w:val="20"/>
        </w:rPr>
      </w:pPr>
      <w:r>
        <w:rPr>
          <w:rFonts w:ascii="Arial Unicode MS" w:eastAsia="Arial Unicode MS" w:hAnsi="Arial Unicode MS" w:cs="Arial Unicode MS"/>
          <w:sz w:val="20"/>
        </w:rPr>
        <w:t>Renforcer l’efficacité de l’administration publique (OT 11)</w:t>
      </w:r>
    </w:p>
    <w:p w:rsidR="009B64CE" w:rsidRPr="00AA62B2" w:rsidRDefault="009B64CE" w:rsidP="009B64CE">
      <w:pPr>
        <w:pStyle w:val="Corpsdetexte"/>
        <w:spacing w:line="240" w:lineRule="auto"/>
        <w:rPr>
          <w:rFonts w:ascii="Arial Unicode MS" w:eastAsia="Arial Unicode MS" w:hAnsi="Arial Unicode MS" w:cs="Arial Unicode MS"/>
          <w:b/>
          <w:color w:val="FF6600"/>
          <w:sz w:val="20"/>
          <w:u w:val="single"/>
        </w:rPr>
      </w:pPr>
      <w:r>
        <w:rPr>
          <w:rFonts w:ascii="Arial Unicode MS" w:eastAsia="Arial Unicode MS" w:hAnsi="Arial Unicode MS" w:cs="Arial Unicode MS"/>
          <w:sz w:val="20"/>
        </w:rPr>
        <w:t xml:space="preserve">URBACT doit concentrer 70% de ses ressources sur les objectifs thématiques n°1, 4, 6, 8 et 9. Cependant, </w:t>
      </w:r>
      <w:r w:rsidRPr="00832309">
        <w:rPr>
          <w:rFonts w:ascii="Arial Unicode MS" w:eastAsia="Arial Unicode MS" w:hAnsi="Arial Unicode MS" w:cs="Arial Unicode MS"/>
          <w:b/>
          <w:sz w:val="20"/>
        </w:rPr>
        <w:t>les actions financées par URBACT III s’inscrivent toutes dans l’OT 11</w:t>
      </w:r>
      <w:r>
        <w:rPr>
          <w:rFonts w:ascii="Arial Unicode MS" w:eastAsia="Arial Unicode MS" w:hAnsi="Arial Unicode MS" w:cs="Arial Unicode MS"/>
          <w:sz w:val="20"/>
        </w:rPr>
        <w:t xml:space="preserve">. </w:t>
      </w:r>
    </w:p>
    <w:p w:rsidR="009B64CE" w:rsidRDefault="009B64CE" w:rsidP="009B64CE">
      <w:pPr>
        <w:pStyle w:val="Corpsdetexte"/>
        <w:spacing w:line="240" w:lineRule="auto"/>
        <w:rPr>
          <w:rFonts w:ascii="Arial Unicode MS" w:eastAsia="Arial Unicode MS" w:hAnsi="Arial Unicode MS" w:cs="Arial Unicode MS"/>
          <w:sz w:val="20"/>
        </w:rPr>
      </w:pPr>
      <w:r>
        <w:rPr>
          <w:rFonts w:ascii="Arial Unicode MS" w:eastAsia="Arial Unicode MS" w:hAnsi="Arial Unicode MS" w:cs="Arial Unicode MS"/>
          <w:sz w:val="20"/>
        </w:rPr>
        <w:t>La gestion d’URBACT III est assurée par un Secrétariat qui se trouve au sein du Commissariat général à l’égalité des territoires (CGET), ce dernier étant l’autorité de gestion du programme.</w:t>
      </w:r>
    </w:p>
    <w:p w:rsidR="009B64CE" w:rsidRPr="00A67BC3" w:rsidRDefault="009B64CE" w:rsidP="009B64CE">
      <w:pPr>
        <w:pStyle w:val="Titre1"/>
        <w:rPr>
          <w:color w:val="C10435"/>
        </w:rPr>
      </w:pPr>
      <w:r w:rsidRPr="00A67BC3">
        <w:rPr>
          <w:color w:val="C10435"/>
        </w:rPr>
        <w:t>Quel est le budget du programme ?</w:t>
      </w:r>
    </w:p>
    <w:p w:rsidR="009B64CE" w:rsidRPr="00EE083F" w:rsidRDefault="009B64CE" w:rsidP="009B64CE">
      <w:pPr>
        <w:spacing w:line="240" w:lineRule="auto"/>
        <w:rPr>
          <w:rFonts w:eastAsia="Arial Unicode MS" w:cs="Arial Unicode MS"/>
        </w:rPr>
      </w:pPr>
      <w:r>
        <w:rPr>
          <w:rFonts w:eastAsia="Arial Unicode MS" w:cs="Arial Unicode MS"/>
        </w:rPr>
        <w:t>URBACT est doté d’un budget de</w:t>
      </w:r>
      <w:r w:rsidRPr="00EE083F">
        <w:rPr>
          <w:rFonts w:eastAsia="Arial Unicode MS" w:cs="Arial Unicode MS"/>
        </w:rPr>
        <w:t xml:space="preserve"> </w:t>
      </w:r>
      <w:r w:rsidRPr="00A67BC3">
        <w:rPr>
          <w:rFonts w:eastAsia="Arial Unicode MS"/>
          <w:b/>
          <w:color w:val="C10435"/>
        </w:rPr>
        <w:t>96,3 millions d’€</w:t>
      </w:r>
      <w:r w:rsidRPr="00A67BC3">
        <w:rPr>
          <w:rFonts w:eastAsia="Arial Unicode MS" w:cs="Arial Unicode MS"/>
          <w:color w:val="C10435"/>
        </w:rPr>
        <w:t xml:space="preserve"> </w:t>
      </w:r>
      <w:r>
        <w:rPr>
          <w:rFonts w:eastAsia="Arial Unicode MS" w:cs="Arial Unicode MS"/>
        </w:rPr>
        <w:t xml:space="preserve">pour la période 2014-2020. </w:t>
      </w:r>
      <w:r w:rsidRPr="00EE083F">
        <w:rPr>
          <w:rFonts w:eastAsia="Arial Unicode MS" w:cs="Arial Unicode MS"/>
        </w:rPr>
        <w:t>Il est cofinancé par le FEDER</w:t>
      </w:r>
      <w:r>
        <w:rPr>
          <w:rFonts w:eastAsia="Arial Unicode MS" w:cs="Arial Unicode MS"/>
        </w:rPr>
        <w:t xml:space="preserve"> à hauteur de 74,3 millions </w:t>
      </w:r>
      <w:r>
        <w:rPr>
          <w:rFonts w:eastAsia="Arial Unicode MS" w:cs="Arial Unicode MS" w:hint="eastAsia"/>
        </w:rPr>
        <w:t>€</w:t>
      </w:r>
      <w:r>
        <w:rPr>
          <w:rFonts w:eastAsia="Arial Unicode MS" w:cs="Arial Unicode MS"/>
        </w:rPr>
        <w:t xml:space="preserve"> (77,1%)</w:t>
      </w:r>
      <w:r w:rsidRPr="00EE083F">
        <w:rPr>
          <w:rFonts w:eastAsia="Arial Unicode MS" w:cs="Arial Unicode MS"/>
        </w:rPr>
        <w:t xml:space="preserve">, ainsi que </w:t>
      </w:r>
      <w:r>
        <w:rPr>
          <w:rFonts w:eastAsia="Arial Unicode MS" w:cs="Arial Unicode MS"/>
        </w:rPr>
        <w:t>par des contributions locales (17,2%) et nationales (5,7%).</w:t>
      </w:r>
    </w:p>
    <w:p w:rsidR="009B64CE" w:rsidRPr="00A67BC3" w:rsidRDefault="009B64CE" w:rsidP="009B64CE">
      <w:pPr>
        <w:pStyle w:val="Titre1"/>
        <w:rPr>
          <w:color w:val="C10435"/>
        </w:rPr>
      </w:pPr>
      <w:r w:rsidRPr="00A67BC3">
        <w:rPr>
          <w:color w:val="C10435"/>
        </w:rPr>
        <w:t>Comment bénéficier du programme ?</w:t>
      </w:r>
    </w:p>
    <w:p w:rsidR="009B64CE" w:rsidRDefault="009B64CE" w:rsidP="009B64CE">
      <w:pPr>
        <w:spacing w:line="240" w:lineRule="auto"/>
        <w:rPr>
          <w:rFonts w:eastAsia="Arial Unicode MS" w:cs="Arial Unicode MS"/>
        </w:rPr>
      </w:pPr>
      <w:r>
        <w:rPr>
          <w:rFonts w:eastAsia="Arial Unicode MS" w:cs="Arial Unicode MS"/>
        </w:rPr>
        <w:t xml:space="preserve">Les financements du programme URBACT III sont accessibles via des </w:t>
      </w:r>
      <w:r w:rsidRPr="00A67BC3">
        <w:rPr>
          <w:rFonts w:eastAsia="Arial Unicode MS" w:cs="Arial Unicode MS"/>
          <w:b/>
          <w:color w:val="C10435"/>
        </w:rPr>
        <w:t>appels à projets</w:t>
      </w:r>
      <w:r w:rsidRPr="00A67BC3">
        <w:rPr>
          <w:rFonts w:eastAsia="Arial Unicode MS" w:cs="Arial Unicode MS"/>
          <w:color w:val="C10435"/>
        </w:rPr>
        <w:t xml:space="preserve">. </w:t>
      </w:r>
      <w:r>
        <w:rPr>
          <w:rFonts w:eastAsia="Arial Unicode MS" w:cs="Arial Unicode MS"/>
        </w:rPr>
        <w:t>Sur la période 2014-2020, plusieurs appels à projets seront lancés pour les trois types de réseaux (réseaux de planification/ réseaux de mise en œuvre/ réseaux de transfert).</w:t>
      </w:r>
    </w:p>
    <w:p w:rsidR="009B64CE" w:rsidRDefault="009B64CE" w:rsidP="009B64CE">
      <w:pPr>
        <w:spacing w:line="240" w:lineRule="auto"/>
        <w:rPr>
          <w:rFonts w:eastAsia="Arial Unicode MS" w:cs="Arial Unicode MS"/>
        </w:rPr>
      </w:pPr>
    </w:p>
    <w:p w:rsidR="009B64CE" w:rsidRDefault="009B64CE" w:rsidP="009B64CE">
      <w:pPr>
        <w:spacing w:line="240" w:lineRule="auto"/>
        <w:rPr>
          <w:rFonts w:eastAsia="Arial Unicode MS" w:cs="Arial Unicode MS"/>
        </w:rPr>
      </w:pPr>
    </w:p>
    <w:p w:rsidR="009B64CE" w:rsidRDefault="009B64CE" w:rsidP="009B64CE">
      <w:pPr>
        <w:spacing w:line="240" w:lineRule="auto"/>
        <w:rPr>
          <w:rFonts w:eastAsia="Arial Unicode MS" w:cs="Arial Unicode MS"/>
        </w:rPr>
      </w:pPr>
      <w:r>
        <w:rPr>
          <w:rFonts w:eastAsia="Arial Unicode MS" w:cs="Arial Unicode MS"/>
        </w:rPr>
        <w:lastRenderedPageBreak/>
        <w:t>Le taux de cofinancement est de 70% pour les partenaires qui se situent dans les régions « plus développées » (comme le territoire de l’ancienne région Aquitaine) et de 85% pour les partenaires se situant dans les régions « en transition » (comme les territoires des anciennes régions Poitou-Charentes et Limousin).</w:t>
      </w:r>
    </w:p>
    <w:p w:rsidR="00976CA6" w:rsidRPr="00976CA6" w:rsidRDefault="00976CA6" w:rsidP="00976CA6">
      <w:pPr>
        <w:pStyle w:val="Paragraphedeliste"/>
        <w:numPr>
          <w:ilvl w:val="0"/>
          <w:numId w:val="7"/>
        </w:numPr>
        <w:spacing w:line="240" w:lineRule="auto"/>
        <w:rPr>
          <w:rFonts w:ascii="Arial" w:hAnsi="Arial" w:cs="Arial"/>
          <w:b/>
          <w:color w:val="222222"/>
        </w:rPr>
      </w:pPr>
      <w:r w:rsidRPr="00976CA6">
        <w:rPr>
          <w:rFonts w:eastAsia="Arial Unicode MS" w:cs="Arial Unicode MS"/>
          <w:b/>
        </w:rPr>
        <w:t xml:space="preserve">Tous les appels à projet pour la période 2014-2020 sont désormais clos.  </w:t>
      </w:r>
    </w:p>
    <w:p w:rsidR="009B64CE" w:rsidRPr="00A67BC3" w:rsidRDefault="009B64CE" w:rsidP="009B64CE">
      <w:pPr>
        <w:pStyle w:val="Titre1"/>
        <w:rPr>
          <w:color w:val="C10435"/>
        </w:rPr>
      </w:pPr>
      <w:r w:rsidRPr="00A67BC3">
        <w:rPr>
          <w:color w:val="C10435"/>
        </w:rPr>
        <w:t xml:space="preserve">Qui sont les contacts clés du programme ? </w:t>
      </w:r>
    </w:p>
    <w:p w:rsidR="009B64CE" w:rsidRPr="00DB2963" w:rsidRDefault="009B64CE" w:rsidP="009B64CE">
      <w:pPr>
        <w:pStyle w:val="Titre2"/>
        <w:rPr>
          <w:color w:val="595959" w:themeColor="text1" w:themeTint="A6"/>
        </w:rPr>
      </w:pPr>
      <w:r w:rsidRPr="00DB2963">
        <w:rPr>
          <w:caps/>
          <w:color w:val="595959" w:themeColor="text1" w:themeTint="A6"/>
        </w:rPr>
        <w:t>S</w:t>
      </w:r>
      <w:r w:rsidRPr="00DB2963">
        <w:rPr>
          <w:color w:val="595959" w:themeColor="text1" w:themeTint="A6"/>
        </w:rPr>
        <w:t>ecrétariat</w:t>
      </w:r>
      <w:r w:rsidRPr="00DB2963">
        <w:rPr>
          <w:caps/>
          <w:color w:val="595959" w:themeColor="text1" w:themeTint="A6"/>
        </w:rPr>
        <w:t xml:space="preserve"> urbact </w:t>
      </w:r>
    </w:p>
    <w:p w:rsidR="009B64CE" w:rsidRPr="00DA4073" w:rsidRDefault="009B64CE" w:rsidP="009B64CE">
      <w:pPr>
        <w:rPr>
          <w:rFonts w:eastAsia="Arial Unicode MS" w:cs="Arial Unicode MS"/>
        </w:rPr>
      </w:pPr>
      <w:r w:rsidRPr="00DA4073">
        <w:rPr>
          <w:rFonts w:eastAsia="Arial Unicode MS" w:cs="Arial Unicode MS"/>
        </w:rPr>
        <w:t>Emanuel Moulin</w:t>
      </w:r>
      <w:r>
        <w:rPr>
          <w:rFonts w:eastAsia="Arial Unicode MS" w:cs="Arial Unicode MS"/>
        </w:rPr>
        <w:t>, Responsable du Secrétariat</w:t>
      </w:r>
    </w:p>
    <w:p w:rsidR="009B64CE" w:rsidRPr="00DA4073" w:rsidRDefault="009B64CE" w:rsidP="009B64CE">
      <w:pPr>
        <w:spacing w:after="0"/>
        <w:rPr>
          <w:rFonts w:eastAsia="Arial Unicode MS" w:cs="Arial Unicode MS"/>
        </w:rPr>
      </w:pPr>
      <w:r>
        <w:rPr>
          <w:rFonts w:eastAsia="Arial Unicode MS" w:cs="Arial Unicode MS"/>
        </w:rPr>
        <w:t xml:space="preserve">20 avenue de Ségur 75007 Paris, </w:t>
      </w:r>
      <w:r w:rsidRPr="00DA4073">
        <w:rPr>
          <w:rFonts w:eastAsia="Arial Unicode MS" w:cs="Arial Unicode MS"/>
        </w:rPr>
        <w:t xml:space="preserve">France </w:t>
      </w:r>
    </w:p>
    <w:p w:rsidR="009B64CE" w:rsidRPr="00DA4073" w:rsidRDefault="009B64CE" w:rsidP="009B64CE">
      <w:pPr>
        <w:spacing w:after="0"/>
        <w:rPr>
          <w:rFonts w:eastAsia="Arial Unicode MS" w:cs="Arial Unicode MS"/>
        </w:rPr>
      </w:pPr>
      <w:r w:rsidRPr="00DA4073">
        <w:rPr>
          <w:rFonts w:eastAsia="Arial Unicode MS" w:cs="Arial Unicode MS"/>
        </w:rPr>
        <w:t>Tel : (+33) 1 85 58 61 87</w:t>
      </w:r>
    </w:p>
    <w:p w:rsidR="009B64CE" w:rsidRDefault="009B64CE" w:rsidP="009B64CE">
      <w:pPr>
        <w:spacing w:after="0"/>
        <w:rPr>
          <w:rFonts w:eastAsia="Arial Unicode MS" w:cs="Arial Unicode MS"/>
        </w:rPr>
      </w:pPr>
      <w:r w:rsidRPr="00DA4073">
        <w:rPr>
          <w:rFonts w:eastAsia="Arial Unicode MS" w:cs="Arial Unicode MS"/>
        </w:rPr>
        <w:t xml:space="preserve">Courriel : </w:t>
      </w:r>
      <w:hyperlink r:id="rId7" w:history="1">
        <w:r w:rsidRPr="00DA4073">
          <w:rPr>
            <w:rStyle w:val="Lienhypertexte"/>
            <w:rFonts w:eastAsia="Arial Unicode MS" w:cs="Arial Unicode MS"/>
          </w:rPr>
          <w:t>e.moulin@urbact.eu</w:t>
        </w:r>
      </w:hyperlink>
      <w:r w:rsidRPr="00DA4073">
        <w:rPr>
          <w:rFonts w:eastAsia="Arial Unicode MS" w:cs="Arial Unicode MS"/>
        </w:rPr>
        <w:t xml:space="preserve"> </w:t>
      </w:r>
    </w:p>
    <w:p w:rsidR="009B64CE" w:rsidRPr="00DA4073" w:rsidRDefault="009B64CE" w:rsidP="009B64CE">
      <w:pPr>
        <w:spacing w:after="0"/>
        <w:rPr>
          <w:rFonts w:eastAsia="Arial Unicode MS" w:cs="Arial Unicode MS"/>
        </w:rPr>
      </w:pPr>
      <w:r w:rsidRPr="00DA4073">
        <w:rPr>
          <w:rFonts w:eastAsia="Arial Unicode MS" w:cs="Arial Unicode MS"/>
        </w:rPr>
        <w:t xml:space="preserve">Site Internet du programme URBACT : </w:t>
      </w:r>
      <w:hyperlink r:id="rId8" w:history="1">
        <w:r w:rsidRPr="00DA4073">
          <w:rPr>
            <w:rStyle w:val="Lienhypertexte"/>
            <w:rFonts w:eastAsia="Arial Unicode MS" w:cs="Arial Unicode MS"/>
          </w:rPr>
          <w:t>http://urbact.eu</w:t>
        </w:r>
      </w:hyperlink>
      <w:r w:rsidRPr="00DA4073">
        <w:rPr>
          <w:rFonts w:eastAsia="Arial Unicode MS" w:cs="Arial Unicode MS"/>
        </w:rPr>
        <w:t xml:space="preserve"> </w:t>
      </w:r>
    </w:p>
    <w:p w:rsidR="009B64CE" w:rsidRPr="00DA4073" w:rsidRDefault="009B64CE" w:rsidP="009B64CE">
      <w:pPr>
        <w:rPr>
          <w:rFonts w:eastAsia="Arial Unicode MS" w:cs="Arial Unicode MS"/>
        </w:rPr>
      </w:pPr>
    </w:p>
    <w:p w:rsidR="009B64CE" w:rsidRPr="00803270" w:rsidRDefault="009B64CE" w:rsidP="009B64CE">
      <w:pPr>
        <w:rPr>
          <w:rFonts w:eastAsia="Arial Unicode MS" w:cs="Arial Unicode MS"/>
        </w:rPr>
      </w:pPr>
      <w:r>
        <w:rPr>
          <w:rFonts w:eastAsia="Arial Unicode MS" w:cs="Arial Unicode MS"/>
        </w:rPr>
        <w:t xml:space="preserve">Autres contacts à la page suivante : </w:t>
      </w:r>
      <w:hyperlink r:id="rId9" w:history="1">
        <w:r w:rsidRPr="00356010">
          <w:rPr>
            <w:rStyle w:val="Lienhypertexte"/>
          </w:rPr>
          <w:t>http://urbact.eu/secretariat</w:t>
        </w:r>
      </w:hyperlink>
      <w:r>
        <w:t xml:space="preserve"> </w:t>
      </w:r>
    </w:p>
    <w:p w:rsidR="009B64CE" w:rsidRPr="00DB2963" w:rsidRDefault="009B64CE" w:rsidP="009B64CE">
      <w:pPr>
        <w:pStyle w:val="Titre1"/>
        <w:rPr>
          <w:color w:val="C10435"/>
          <w:sz w:val="20"/>
          <w:szCs w:val="20"/>
        </w:rPr>
      </w:pPr>
      <w:r w:rsidRPr="00DB2963">
        <w:rPr>
          <w:color w:val="C10435"/>
        </w:rPr>
        <w:t xml:space="preserve">Quels sont les textes officiels du programme ? </w:t>
      </w:r>
    </w:p>
    <w:p w:rsidR="009B64CE" w:rsidRPr="00DA4073" w:rsidRDefault="009B64CE" w:rsidP="009B64CE">
      <w:pPr>
        <w:pStyle w:val="Corpsdetexte"/>
        <w:rPr>
          <w:rFonts w:ascii="Arial Unicode MS" w:eastAsia="Arial Unicode MS" w:hAnsi="Arial Unicode MS" w:cs="Arial Unicode MS"/>
          <w:sz w:val="20"/>
        </w:rPr>
      </w:pPr>
      <w:r w:rsidRPr="00DA4073">
        <w:rPr>
          <w:rFonts w:ascii="Arial Unicode MS" w:eastAsia="Arial Unicode MS" w:hAnsi="Arial Unicode MS" w:cs="Arial Unicode MS"/>
          <w:sz w:val="20"/>
        </w:rPr>
        <w:t>Programme opérationnel URBACT 2014-2020 :</w:t>
      </w:r>
    </w:p>
    <w:p w:rsidR="009B64CE" w:rsidRDefault="005F1E41" w:rsidP="009B64CE">
      <w:pPr>
        <w:pStyle w:val="Corpsdetexte"/>
        <w:rPr>
          <w:rFonts w:ascii="Arial Unicode MS" w:eastAsia="Arial Unicode MS" w:hAnsi="Arial Unicode MS" w:cs="Arial Unicode MS"/>
          <w:sz w:val="20"/>
        </w:rPr>
      </w:pPr>
      <w:hyperlink r:id="rId10" w:history="1">
        <w:r w:rsidR="009B64CE" w:rsidRPr="00DA4073">
          <w:rPr>
            <w:rStyle w:val="Lienhypertexte"/>
            <w:rFonts w:ascii="Arial Unicode MS" w:eastAsia="Arial Unicode MS" w:hAnsi="Arial Unicode MS" w:cs="Arial Unicode MS"/>
            <w:sz w:val="20"/>
          </w:rPr>
          <w:t>http://urbact.eu/sites/default/files/u_iii_op_adopted_12_december_2014.pdf</w:t>
        </w:r>
      </w:hyperlink>
      <w:r w:rsidR="009B64CE" w:rsidRPr="00DA4073">
        <w:rPr>
          <w:rFonts w:ascii="Arial Unicode MS" w:eastAsia="Arial Unicode MS" w:hAnsi="Arial Unicode MS" w:cs="Arial Unicode MS"/>
          <w:sz w:val="20"/>
        </w:rPr>
        <w:t xml:space="preserve"> </w:t>
      </w:r>
    </w:p>
    <w:p w:rsidR="009B64CE" w:rsidRDefault="009B64CE" w:rsidP="009B64CE">
      <w:pPr>
        <w:pStyle w:val="Corpsdetexte"/>
        <w:jc w:val="left"/>
        <w:rPr>
          <w:rFonts w:ascii="Arial Unicode MS" w:eastAsia="Arial Unicode MS" w:hAnsi="Arial Unicode MS" w:cs="Arial Unicode MS"/>
          <w:sz w:val="20"/>
        </w:rPr>
      </w:pPr>
    </w:p>
    <w:p w:rsidR="009B64CE" w:rsidRDefault="009B64CE" w:rsidP="009B64CE">
      <w:pPr>
        <w:pStyle w:val="Corpsdetexte"/>
        <w:jc w:val="left"/>
        <w:rPr>
          <w:rFonts w:ascii="Arial Unicode MS" w:eastAsia="Arial Unicode MS" w:hAnsi="Arial Unicode MS" w:cs="Arial Unicode MS"/>
          <w:sz w:val="20"/>
        </w:rPr>
      </w:pPr>
      <w:r>
        <w:rPr>
          <w:rFonts w:ascii="Arial Unicode MS" w:eastAsia="Arial Unicode MS" w:hAnsi="Arial Unicode MS" w:cs="Arial Unicode MS"/>
          <w:sz w:val="20"/>
        </w:rPr>
        <w:t>Programme manuel URBACT III- 9</w:t>
      </w:r>
      <w:r w:rsidRPr="008E1238">
        <w:rPr>
          <w:rFonts w:ascii="Arial Unicode MS" w:eastAsia="Arial Unicode MS" w:hAnsi="Arial Unicode MS" w:cs="Arial Unicode MS"/>
          <w:sz w:val="20"/>
          <w:vertAlign w:val="superscript"/>
        </w:rPr>
        <w:t>ième</w:t>
      </w:r>
      <w:r>
        <w:rPr>
          <w:rFonts w:ascii="Arial Unicode MS" w:eastAsia="Arial Unicode MS" w:hAnsi="Arial Unicode MS" w:cs="Arial Unicode MS"/>
          <w:sz w:val="20"/>
        </w:rPr>
        <w:t xml:space="preserve"> version approuvée le 4 décembre 2018 : </w:t>
      </w:r>
    </w:p>
    <w:p w:rsidR="009B64CE" w:rsidRDefault="005F1E41" w:rsidP="009B64CE">
      <w:pPr>
        <w:pStyle w:val="Corpsdetexte"/>
        <w:rPr>
          <w:rFonts w:ascii="Arial Unicode MS" w:eastAsia="Arial Unicode MS" w:hAnsi="Arial Unicode MS" w:cs="Arial Unicode MS"/>
          <w:sz w:val="20"/>
        </w:rPr>
      </w:pPr>
      <w:hyperlink r:id="rId11" w:history="1">
        <w:r w:rsidR="009B64CE" w:rsidRPr="00084654">
          <w:rPr>
            <w:rStyle w:val="Lienhypertexte"/>
            <w:rFonts w:ascii="Arial Unicode MS" w:eastAsia="Arial Unicode MS" w:hAnsi="Arial Unicode MS" w:cs="Arial Unicode MS"/>
            <w:sz w:val="20"/>
          </w:rPr>
          <w:t>https://urbact.eu/sites/default/files/pm_v9_ready_for_the_apn_call.pdf</w:t>
        </w:r>
      </w:hyperlink>
      <w:r w:rsidR="009B64CE">
        <w:rPr>
          <w:rFonts w:ascii="Arial Unicode MS" w:eastAsia="Arial Unicode MS" w:hAnsi="Arial Unicode MS" w:cs="Arial Unicode MS"/>
          <w:sz w:val="20"/>
        </w:rPr>
        <w:t xml:space="preserve"> </w:t>
      </w:r>
    </w:p>
    <w:p w:rsidR="009B64CE" w:rsidRDefault="009B64CE" w:rsidP="009B64CE">
      <w:pPr>
        <w:pStyle w:val="Corpsdetexte"/>
        <w:rPr>
          <w:rFonts w:ascii="Arial Unicode MS" w:eastAsia="Arial Unicode MS" w:hAnsi="Arial Unicode MS" w:cs="Arial Unicode MS"/>
          <w:sz w:val="20"/>
        </w:rPr>
      </w:pPr>
    </w:p>
    <w:p w:rsidR="009B64CE" w:rsidRPr="001D07E4" w:rsidRDefault="009B64CE" w:rsidP="009B64CE">
      <w:pPr>
        <w:pStyle w:val="Corpsdetexte"/>
        <w:rPr>
          <w:rFonts w:ascii="Arial Unicode MS" w:eastAsia="Arial Unicode MS" w:hAnsi="Arial Unicode MS" w:cs="Arial Unicode MS"/>
          <w:sz w:val="20"/>
        </w:rPr>
      </w:pPr>
    </w:p>
    <w:p w:rsidR="00587C60" w:rsidRDefault="00587C60"/>
    <w:sectPr w:rsidR="00587C60" w:rsidSect="009E6A78">
      <w:headerReference w:type="default" r:id="rId12"/>
      <w:footerReference w:type="even" r:id="rId13"/>
      <w:footerReference w:type="default" r:id="rId14"/>
      <w:headerReference w:type="first" r:id="rId15"/>
      <w:footerReference w:type="first" r:id="rId16"/>
      <w:pgSz w:w="11906" w:h="16838"/>
      <w:pgMar w:top="107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27" w:rsidRDefault="00960127">
      <w:pPr>
        <w:spacing w:before="0" w:after="0" w:line="240" w:lineRule="auto"/>
      </w:pPr>
      <w:r>
        <w:separator/>
      </w:r>
    </w:p>
  </w:endnote>
  <w:endnote w:type="continuationSeparator" w:id="0">
    <w:p w:rsidR="00960127" w:rsidRDefault="00960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ld">
    <w:altName w:val="Times New Roman"/>
    <w:panose1 w:val="00000000000000000000"/>
    <w:charset w:val="00"/>
    <w:family w:val="roman"/>
    <w:notTrueType/>
    <w:pitch w:val="default"/>
  </w:font>
  <w:font w:name="+mn-ea">
    <w:panose1 w:val="00000000000000000000"/>
    <w:charset w:val="00"/>
    <w:family w:val="roman"/>
    <w:notTrueType/>
    <w:pitch w:val="default"/>
  </w:font>
  <w:font w:name="Intro Regular">
    <w:altName w:val="Arial"/>
    <w:panose1 w:val="00000000000000000000"/>
    <w:charset w:val="00"/>
    <w:family w:val="modern"/>
    <w:notTrueType/>
    <w:pitch w:val="variable"/>
    <w:sig w:usb0="00000001" w:usb1="0000006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1CF" w:rsidRDefault="009B64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531CF" w:rsidRDefault="005F1E4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1CF" w:rsidRPr="00141685" w:rsidRDefault="009B64CE">
    <w:pPr>
      <w:pStyle w:val="Pieddepage"/>
      <w:framePr w:wrap="around" w:vAnchor="text" w:hAnchor="margin" w:xAlign="right" w:y="1"/>
      <w:rPr>
        <w:rStyle w:val="Numrodepage"/>
        <w:rFonts w:eastAsia="Arial Unicode MS" w:cs="Arial Unicode MS"/>
        <w:color w:val="486273"/>
      </w:rPr>
    </w:pPr>
    <w:r w:rsidRPr="00141685">
      <w:rPr>
        <w:rStyle w:val="Numrodepage"/>
        <w:rFonts w:eastAsia="Arial Unicode MS" w:cs="Arial Unicode MS"/>
        <w:color w:val="486273"/>
      </w:rPr>
      <w:fldChar w:fldCharType="begin"/>
    </w:r>
    <w:r w:rsidRPr="00141685">
      <w:rPr>
        <w:rStyle w:val="Numrodepage"/>
        <w:rFonts w:eastAsia="Arial Unicode MS" w:cs="Arial Unicode MS"/>
        <w:color w:val="486273"/>
      </w:rPr>
      <w:instrText xml:space="preserve">PAGE  </w:instrText>
    </w:r>
    <w:r w:rsidRPr="00141685">
      <w:rPr>
        <w:rStyle w:val="Numrodepage"/>
        <w:rFonts w:eastAsia="Arial Unicode MS" w:cs="Arial Unicode MS"/>
        <w:color w:val="486273"/>
      </w:rPr>
      <w:fldChar w:fldCharType="separate"/>
    </w:r>
    <w:r w:rsidR="005F1E41">
      <w:rPr>
        <w:rStyle w:val="Numrodepage"/>
        <w:rFonts w:eastAsia="Arial Unicode MS" w:cs="Arial Unicode MS"/>
        <w:noProof/>
        <w:color w:val="486273"/>
      </w:rPr>
      <w:t>4</w:t>
    </w:r>
    <w:r w:rsidRPr="00141685">
      <w:rPr>
        <w:rStyle w:val="Numrodepage"/>
        <w:rFonts w:eastAsia="Arial Unicode MS" w:cs="Arial Unicode MS"/>
        <w:color w:val="486273"/>
      </w:rPr>
      <w:fldChar w:fldCharType="end"/>
    </w:r>
  </w:p>
  <w:p w:rsidR="004531CF" w:rsidRPr="00423A16" w:rsidRDefault="009B64CE" w:rsidP="00C16A50">
    <w:pPr>
      <w:tabs>
        <w:tab w:val="center" w:pos="4536"/>
        <w:tab w:val="right" w:pos="9072"/>
      </w:tabs>
      <w:ind w:right="360"/>
      <w:rPr>
        <w:rFonts w:eastAsia="Calibri"/>
        <w:color w:val="404040" w:themeColor="text1" w:themeTint="BF"/>
        <w:sz w:val="16"/>
        <w:szCs w:val="16"/>
      </w:rPr>
    </w:pPr>
    <w:r w:rsidRPr="00423A16">
      <w:rPr>
        <w:rFonts w:cs="Arial Unicode MS"/>
        <w:b/>
        <w:iCs/>
        <w:color w:val="404040" w:themeColor="text1" w:themeTint="BF"/>
        <w:sz w:val="18"/>
        <w:szCs w:val="18"/>
        <w:lang w:eastAsia="fr-FR"/>
      </w:rPr>
      <w:t>Repr</w:t>
    </w:r>
    <w:r w:rsidRPr="00423A16">
      <w:rPr>
        <w:rFonts w:cs="Arial Unicode MS" w:hint="eastAsia"/>
        <w:b/>
        <w:iCs/>
        <w:color w:val="404040" w:themeColor="text1" w:themeTint="BF"/>
        <w:sz w:val="18"/>
        <w:szCs w:val="18"/>
        <w:lang w:eastAsia="fr-FR"/>
      </w:rPr>
      <w:t>é</w:t>
    </w:r>
    <w:r w:rsidRPr="00423A16">
      <w:rPr>
        <w:rFonts w:cs="Arial Unicode MS"/>
        <w:b/>
        <w:iCs/>
        <w:color w:val="404040" w:themeColor="text1" w:themeTint="BF"/>
        <w:sz w:val="18"/>
        <w:szCs w:val="18"/>
        <w:lang w:eastAsia="fr-FR"/>
      </w:rPr>
      <w:t>sentation de la R</w:t>
    </w:r>
    <w:r w:rsidRPr="00423A16">
      <w:rPr>
        <w:rFonts w:cs="Arial Unicode MS" w:hint="eastAsia"/>
        <w:b/>
        <w:iCs/>
        <w:color w:val="404040" w:themeColor="text1" w:themeTint="BF"/>
        <w:sz w:val="18"/>
        <w:szCs w:val="18"/>
        <w:lang w:eastAsia="fr-FR"/>
      </w:rPr>
      <w:t>é</w:t>
    </w:r>
    <w:r w:rsidRPr="00423A16">
      <w:rPr>
        <w:rFonts w:cs="Arial Unicode MS"/>
        <w:b/>
        <w:iCs/>
        <w:color w:val="404040" w:themeColor="text1" w:themeTint="BF"/>
        <w:sz w:val="18"/>
        <w:szCs w:val="18"/>
        <w:lang w:eastAsia="fr-FR"/>
      </w:rPr>
      <w:t xml:space="preserve">gion Nouvelle-Aquitaine </w:t>
    </w:r>
    <w:r w:rsidRPr="00423A16">
      <w:rPr>
        <w:rFonts w:cs="Arial Unicode MS" w:hint="eastAsia"/>
        <w:b/>
        <w:iCs/>
        <w:color w:val="404040" w:themeColor="text1" w:themeTint="BF"/>
        <w:sz w:val="18"/>
        <w:szCs w:val="18"/>
        <w:lang w:eastAsia="fr-FR"/>
      </w:rPr>
      <w:t>à</w:t>
    </w:r>
    <w:r w:rsidRPr="00423A16">
      <w:rPr>
        <w:rFonts w:cs="Arial Unicode MS"/>
        <w:b/>
        <w:iCs/>
        <w:color w:val="404040" w:themeColor="text1" w:themeTint="BF"/>
        <w:sz w:val="18"/>
        <w:szCs w:val="18"/>
        <w:lang w:eastAsia="fr-FR"/>
      </w:rPr>
      <w:t xml:space="preserve"> Bruxelles</w:t>
    </w:r>
    <w:r w:rsidRPr="00423A16">
      <w:rPr>
        <w:rFonts w:cs="Arial Unicode MS" w:hint="eastAsia"/>
        <w:b/>
        <w:i/>
        <w:iCs/>
        <w:color w:val="404040" w:themeColor="text1" w:themeTint="BF"/>
        <w:sz w:val="18"/>
        <w:szCs w:val="18"/>
        <w:lang w:eastAsia="fr-FR"/>
      </w:rPr>
      <w:t xml:space="preserve"> </w:t>
    </w:r>
    <w:r w:rsidR="005F1E41">
      <w:rPr>
        <w:rFonts w:eastAsia="Calibri"/>
        <w:color w:val="404040" w:themeColor="text1" w:themeTint="BF"/>
        <w:sz w:val="16"/>
        <w:szCs w:val="16"/>
      </w:rPr>
      <w:t>– 09.07.</w:t>
    </w:r>
    <w:r>
      <w:rPr>
        <w:rFonts w:eastAsia="Calibri"/>
        <w:color w:val="404040" w:themeColor="text1" w:themeTint="BF"/>
        <w:sz w:val="16"/>
        <w:szCs w:val="16"/>
      </w:rPr>
      <w:t>.201</w:t>
    </w:r>
    <w:r w:rsidR="000C0C53">
      <w:rPr>
        <w:rFonts w:eastAsia="Calibri"/>
        <w:color w:val="404040" w:themeColor="text1" w:themeTint="BF"/>
        <w:sz w:val="16"/>
        <w:szCs w:val="16"/>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49" w:rsidRPr="00423A16" w:rsidRDefault="009B64CE" w:rsidP="00021349">
    <w:pPr>
      <w:tabs>
        <w:tab w:val="center" w:pos="4536"/>
        <w:tab w:val="right" w:pos="9072"/>
      </w:tabs>
      <w:spacing w:after="0"/>
      <w:jc w:val="center"/>
      <w:rPr>
        <w:rFonts w:eastAsia="Arial Unicode MS" w:cs="Arial Unicode MS"/>
        <w:b/>
        <w:color w:val="404040" w:themeColor="text1" w:themeTint="BF"/>
        <w:sz w:val="18"/>
      </w:rPr>
    </w:pPr>
    <w:r w:rsidRPr="00423A16">
      <w:rPr>
        <w:rFonts w:eastAsia="Arial Unicode MS" w:cs="Arial Unicode MS"/>
        <w:b/>
        <w:color w:val="404040" w:themeColor="text1" w:themeTint="BF"/>
        <w:sz w:val="18"/>
      </w:rPr>
      <w:t xml:space="preserve">Région Nouvelle-Aquitaine </w:t>
    </w:r>
  </w:p>
  <w:p w:rsidR="00021349" w:rsidRPr="00423A16" w:rsidRDefault="009B64CE" w:rsidP="00021349">
    <w:pPr>
      <w:tabs>
        <w:tab w:val="center" w:pos="4536"/>
        <w:tab w:val="right" w:pos="9072"/>
      </w:tabs>
      <w:spacing w:after="0"/>
      <w:jc w:val="center"/>
      <w:rPr>
        <w:rFonts w:eastAsia="Arial Unicode MS" w:cs="Arial Unicode MS"/>
        <w:b/>
        <w:i/>
        <w:color w:val="404040" w:themeColor="text1" w:themeTint="BF"/>
        <w:sz w:val="18"/>
      </w:rPr>
    </w:pPr>
    <w:r w:rsidRPr="00423A16">
      <w:rPr>
        <w:rFonts w:eastAsia="Arial Unicode MS" w:cs="Arial Unicode MS"/>
        <w:b/>
        <w:color w:val="404040" w:themeColor="text1" w:themeTint="BF"/>
        <w:sz w:val="18"/>
      </w:rPr>
      <w:t>Représentation de la Nouvelle-Aquitaine à Bruxelles</w:t>
    </w:r>
  </w:p>
  <w:p w:rsidR="00021349" w:rsidRPr="00125744" w:rsidRDefault="009B64CE" w:rsidP="00021349">
    <w:pPr>
      <w:tabs>
        <w:tab w:val="center" w:pos="4536"/>
        <w:tab w:val="right" w:pos="9072"/>
      </w:tabs>
      <w:spacing w:after="0"/>
      <w:jc w:val="center"/>
      <w:rPr>
        <w:rFonts w:eastAsia="Arial Unicode MS" w:cs="Arial Unicode MS"/>
        <w:color w:val="C10435"/>
        <w:sz w:val="16"/>
        <w:szCs w:val="14"/>
      </w:rPr>
    </w:pPr>
    <w:r w:rsidRPr="00423A16">
      <w:rPr>
        <w:rFonts w:eastAsia="Arial Unicode MS" w:cs="Arial Unicode MS"/>
        <w:color w:val="404040" w:themeColor="text1" w:themeTint="BF"/>
        <w:sz w:val="16"/>
      </w:rPr>
      <w:t xml:space="preserve">21 rue </w:t>
    </w:r>
    <w:proofErr w:type="spellStart"/>
    <w:r w:rsidRPr="00423A16">
      <w:rPr>
        <w:rFonts w:eastAsia="Arial Unicode MS" w:cs="Arial Unicode MS"/>
        <w:color w:val="404040" w:themeColor="text1" w:themeTint="BF"/>
        <w:sz w:val="16"/>
      </w:rPr>
      <w:t>Montoyer</w:t>
    </w:r>
    <w:proofErr w:type="spellEnd"/>
    <w:r w:rsidRPr="00423A16">
      <w:rPr>
        <w:rFonts w:eastAsia="Arial Unicode MS" w:cs="Arial Unicode MS"/>
        <w:color w:val="404040" w:themeColor="text1" w:themeTint="BF"/>
        <w:sz w:val="16"/>
      </w:rPr>
      <w:t xml:space="preserve"> </w:t>
    </w:r>
    <w:r w:rsidRPr="00423A16">
      <w:rPr>
        <w:rFonts w:eastAsia="Arial Unicode MS" w:cs="Arial Unicode MS"/>
        <w:color w:val="404040" w:themeColor="text1" w:themeTint="BF"/>
        <w:sz w:val="18"/>
      </w:rPr>
      <w:t>•</w:t>
    </w:r>
    <w:r w:rsidRPr="00423A16">
      <w:rPr>
        <w:rFonts w:eastAsia="Arial Unicode MS" w:cs="Arial Unicode MS"/>
        <w:color w:val="404040" w:themeColor="text1" w:themeTint="BF"/>
        <w:sz w:val="16"/>
      </w:rPr>
      <w:t xml:space="preserve"> 1000 Bruxelles - Belgique </w:t>
    </w:r>
    <w:r w:rsidRPr="00423A16">
      <w:rPr>
        <w:rFonts w:eastAsia="Arial Unicode MS" w:cs="Arial Unicode MS"/>
        <w:color w:val="404040" w:themeColor="text1" w:themeTint="BF"/>
        <w:sz w:val="18"/>
      </w:rPr>
      <w:t>•</w:t>
    </w:r>
    <w:r w:rsidRPr="00423A16">
      <w:rPr>
        <w:rFonts w:eastAsia="Arial Unicode MS" w:cs="Arial Unicode MS"/>
        <w:color w:val="404040" w:themeColor="text1" w:themeTint="BF"/>
        <w:sz w:val="16"/>
      </w:rPr>
      <w:t xml:space="preserve"> Téléphone +32.2.318.10.45 </w:t>
    </w:r>
    <w:r w:rsidRPr="00423A16">
      <w:rPr>
        <w:rFonts w:eastAsia="Arial Unicode MS" w:cs="Arial Unicode MS"/>
        <w:color w:val="404040" w:themeColor="text1" w:themeTint="BF"/>
        <w:sz w:val="18"/>
      </w:rPr>
      <w:t>•</w:t>
    </w:r>
    <w:r w:rsidRPr="00423A16">
      <w:rPr>
        <w:rFonts w:eastAsia="Arial Unicode MS" w:cs="Arial Unicode MS"/>
        <w:color w:val="404040" w:themeColor="text1" w:themeTint="BF"/>
        <w:sz w:val="16"/>
        <w:szCs w:val="14"/>
      </w:rPr>
      <w:t xml:space="preserve"> </w:t>
    </w:r>
    <w:hyperlink r:id="rId1" w:history="1">
      <w:r w:rsidRPr="00423A16">
        <w:rPr>
          <w:rStyle w:val="Lienhypertexte"/>
          <w:rFonts w:eastAsia="Arial Unicode MS" w:cs="Arial Unicode MS"/>
          <w:color w:val="C10435"/>
          <w:sz w:val="16"/>
          <w:szCs w:val="14"/>
        </w:rPr>
        <w:t>bureau-bruxelles@nouvelle-aquitaine.fr</w:t>
      </w:r>
    </w:hyperlink>
    <w:r w:rsidRPr="00125744">
      <w:rPr>
        <w:rFonts w:eastAsia="Arial Unicode MS" w:cs="Arial Unicode MS"/>
        <w:color w:val="C10435"/>
        <w:sz w:val="16"/>
        <w:szCs w:val="14"/>
      </w:rPr>
      <w:t xml:space="preserve"> </w:t>
    </w:r>
  </w:p>
  <w:p w:rsidR="004531CF" w:rsidRPr="008E5722" w:rsidRDefault="005F1E41" w:rsidP="008E5722">
    <w:pPr>
      <w:pStyle w:val="Pieddepage"/>
      <w:jc w:val="center"/>
      <w:rPr>
        <w:rStyle w:val="Lienhypertexte"/>
        <w:rFonts w:eastAsia="Arial Unicode MS" w:cs="Arial Unicode MS"/>
        <w:color w:val="C10435"/>
        <w:sz w:val="16"/>
        <w:szCs w:val="14"/>
      </w:rPr>
    </w:pPr>
    <w:hyperlink r:id="rId2" w:history="1">
      <w:r w:rsidR="009B64CE" w:rsidRPr="008E5722">
        <w:rPr>
          <w:rStyle w:val="Lienhypertexte"/>
          <w:rFonts w:eastAsia="Arial Unicode MS" w:cs="Arial Unicode MS"/>
          <w:color w:val="C10435"/>
          <w:sz w:val="16"/>
          <w:szCs w:val="14"/>
        </w:rPr>
        <w:t>https://www.europe-en-nouvelle-aquitaine.eu/fr</w:t>
      </w:r>
    </w:hyperlink>
    <w:r w:rsidR="009B64CE" w:rsidRPr="008E5722">
      <w:rPr>
        <w:rStyle w:val="Lienhypertexte"/>
        <w:rFonts w:eastAsia="Arial Unicode MS" w:cs="Arial Unicode MS"/>
        <w:color w:val="C10435"/>
        <w:sz w:val="16"/>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27" w:rsidRDefault="00960127">
      <w:pPr>
        <w:spacing w:before="0" w:after="0" w:line="240" w:lineRule="auto"/>
      </w:pPr>
      <w:r>
        <w:separator/>
      </w:r>
    </w:p>
  </w:footnote>
  <w:footnote w:type="continuationSeparator" w:id="0">
    <w:p w:rsidR="00960127" w:rsidRDefault="0096012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49" w:rsidRPr="00F57858" w:rsidRDefault="009B64CE" w:rsidP="00021349">
    <w:pPr>
      <w:pStyle w:val="En-tte"/>
      <w:jc w:val="center"/>
    </w:pPr>
    <w:r w:rsidRPr="00423A16">
      <w:rPr>
        <w:rFonts w:cs="Arial Unicode MS"/>
        <w:i/>
        <w:iCs/>
        <w:color w:val="404040" w:themeColor="text1" w:themeTint="BF"/>
      </w:rPr>
      <w:t>Fiche programme – Repr</w:t>
    </w:r>
    <w:r w:rsidRPr="00423A16">
      <w:rPr>
        <w:rFonts w:cs="Arial Unicode MS" w:hint="eastAsia"/>
        <w:i/>
        <w:iCs/>
        <w:color w:val="404040" w:themeColor="text1" w:themeTint="BF"/>
      </w:rPr>
      <w:t>é</w:t>
    </w:r>
    <w:r w:rsidRPr="00423A16">
      <w:rPr>
        <w:rFonts w:cs="Arial Unicode MS"/>
        <w:i/>
        <w:iCs/>
        <w:color w:val="404040" w:themeColor="text1" w:themeTint="BF"/>
      </w:rPr>
      <w:t>sentation de la R</w:t>
    </w:r>
    <w:r w:rsidRPr="00423A16">
      <w:rPr>
        <w:rFonts w:cs="Arial Unicode MS" w:hint="eastAsia"/>
        <w:i/>
        <w:iCs/>
        <w:color w:val="404040" w:themeColor="text1" w:themeTint="BF"/>
      </w:rPr>
      <w:t>é</w:t>
    </w:r>
    <w:r w:rsidRPr="00423A16">
      <w:rPr>
        <w:rFonts w:cs="Arial Unicode MS"/>
        <w:i/>
        <w:iCs/>
        <w:color w:val="404040" w:themeColor="text1" w:themeTint="BF"/>
      </w:rPr>
      <w:t xml:space="preserve">gion Nouvelle-Aquitaine </w:t>
    </w:r>
    <w:r w:rsidRPr="00423A16">
      <w:rPr>
        <w:rFonts w:cs="Arial Unicode MS" w:hint="eastAsia"/>
        <w:i/>
        <w:iCs/>
        <w:color w:val="404040" w:themeColor="text1" w:themeTint="BF"/>
      </w:rPr>
      <w:t>à</w:t>
    </w:r>
    <w:r w:rsidRPr="00423A16">
      <w:rPr>
        <w:rFonts w:cs="Arial Unicode MS"/>
        <w:i/>
        <w:iCs/>
        <w:color w:val="404040" w:themeColor="text1" w:themeTint="BF"/>
      </w:rPr>
      <w:t xml:space="preserve"> Bruxelles</w:t>
    </w:r>
  </w:p>
  <w:p w:rsidR="00C16A50" w:rsidRPr="00D8074A" w:rsidRDefault="005F1E41" w:rsidP="00D8074A">
    <w:pPr>
      <w:pStyle w:val="En-tte"/>
      <w:jc w:val="center"/>
      <w:rPr>
        <w:rFonts w:cs="Arial Unicode MS"/>
        <w:i/>
        <w:iCs/>
        <w:color w:val="48627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C3" w:rsidRPr="00E851A6" w:rsidRDefault="009B64CE" w:rsidP="00A67BC3">
    <w:pPr>
      <w:pStyle w:val="En-tte"/>
      <w:tabs>
        <w:tab w:val="clear" w:pos="4536"/>
      </w:tabs>
      <w:ind w:left="3119" w:hanging="2835"/>
      <w:rPr>
        <w:rFonts w:cs="Arial Unicode MS"/>
        <w:i/>
        <w:iCs/>
        <w:color w:val="486273"/>
      </w:rPr>
    </w:pPr>
    <w:r>
      <w:rPr>
        <w:noProof/>
        <w:lang w:eastAsia="fr-FR"/>
      </w:rPr>
      <w:drawing>
        <wp:anchor distT="0" distB="0" distL="114300" distR="114300" simplePos="0" relativeHeight="251659264" behindDoc="0" locked="0" layoutInCell="1" allowOverlap="1" wp14:anchorId="3F7E374E" wp14:editId="681C932F">
          <wp:simplePos x="0" y="0"/>
          <wp:positionH relativeFrom="column">
            <wp:posOffset>-61595</wp:posOffset>
          </wp:positionH>
          <wp:positionV relativeFrom="paragraph">
            <wp:posOffset>-211455</wp:posOffset>
          </wp:positionV>
          <wp:extent cx="1746885" cy="752475"/>
          <wp:effectExtent l="0" t="0" r="5715" b="9525"/>
          <wp:wrapSquare wrapText="bothSides"/>
          <wp:docPr id="1" name="Image 1" descr="P:\Régions - logos et cartes\LOGOS\FRANCE\Nouvelle-Aquitaine 2017\logo NA Horizontal\jpg\logo_NA-Horizontal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gions - logos et cartes\LOGOS\FRANCE\Nouvelle-Aquitaine 2017\logo NA Horizontal\jpg\logo_NA-Horizontal_Co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885"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A3185">
      <w:rPr>
        <w:rFonts w:cs="Arial Unicode MS"/>
        <w:i/>
        <w:iCs/>
        <w:color w:val="404040" w:themeColor="text1" w:themeTint="BF"/>
      </w:rPr>
      <w:t>Fiche programme – Représentation de la Région Nouvelle-Aquitaine à Bruxelles</w:t>
    </w:r>
  </w:p>
  <w:p w:rsidR="004531CF" w:rsidRDefault="005F1E41">
    <w:pPr>
      <w:pStyle w:val="En-tte"/>
      <w:jc w:val="center"/>
      <w:rPr>
        <w:rFonts w:cs="Arial Unicode MS"/>
        <w:i/>
        <w:iCs/>
        <w:color w:val="4862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71D"/>
    <w:multiLevelType w:val="hybridMultilevel"/>
    <w:tmpl w:val="DF8A75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1334E"/>
    <w:multiLevelType w:val="hybridMultilevel"/>
    <w:tmpl w:val="CF9053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678BB"/>
    <w:multiLevelType w:val="hybridMultilevel"/>
    <w:tmpl w:val="D92AADFE"/>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3C4B48"/>
    <w:multiLevelType w:val="hybridMultilevel"/>
    <w:tmpl w:val="2E700E58"/>
    <w:lvl w:ilvl="0" w:tplc="A7B8A776">
      <w:start w:val="1"/>
      <w:numFmt w:val="bullet"/>
      <w:lvlText w:val="o"/>
      <w:lvlJc w:val="left"/>
      <w:pPr>
        <w:ind w:left="720" w:hanging="360"/>
      </w:pPr>
      <w:rPr>
        <w:rFonts w:ascii="Courier New" w:hAnsi="Courier New" w:hint="default"/>
        <w:b w:val="0"/>
        <w:color w:val="404040" w:themeColor="text1" w:themeTint="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B76C4F"/>
    <w:multiLevelType w:val="hybridMultilevel"/>
    <w:tmpl w:val="08447A6C"/>
    <w:lvl w:ilvl="0" w:tplc="F14EF5FE">
      <w:start w:val="1"/>
      <w:numFmt w:val="bullet"/>
      <w:lvlText w:val=""/>
      <w:lvlJc w:val="left"/>
      <w:pPr>
        <w:ind w:left="1068" w:hanging="360"/>
      </w:pPr>
      <w:rPr>
        <w:rFonts w:ascii="Wingdings" w:hAnsi="Wingdings" w:hint="default"/>
        <w:color w:val="404040" w:themeColor="text1" w:themeTint="B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E3067D1"/>
    <w:multiLevelType w:val="hybridMultilevel"/>
    <w:tmpl w:val="3BB61EE4"/>
    <w:lvl w:ilvl="0" w:tplc="47141DB6">
      <w:numFmt w:val="bullet"/>
      <w:lvlText w:val=""/>
      <w:lvlJc w:val="left"/>
      <w:pPr>
        <w:ind w:left="720" w:hanging="360"/>
      </w:pPr>
      <w:rPr>
        <w:rFonts w:ascii="Wingdings" w:eastAsia="Arial Unicode MS" w:hAnsi="Wingdings" w:cs="Arial Unicode MS" w:hint="default"/>
        <w:color w:val="4040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000026"/>
    <w:multiLevelType w:val="hybridMultilevel"/>
    <w:tmpl w:val="3A2C008C"/>
    <w:lvl w:ilvl="0" w:tplc="3AD45BB2">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CE"/>
    <w:rsid w:val="000C0C53"/>
    <w:rsid w:val="00587C60"/>
    <w:rsid w:val="005F1E41"/>
    <w:rsid w:val="00960127"/>
    <w:rsid w:val="00976CA6"/>
    <w:rsid w:val="009B6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08FC-DDC2-4520-8C69-5ECF368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CE"/>
    <w:pPr>
      <w:spacing w:before="120" w:after="120" w:line="180" w:lineRule="auto"/>
      <w:jc w:val="both"/>
    </w:pPr>
    <w:rPr>
      <w:rFonts w:ascii="Arial Unicode MS" w:eastAsia="Times New Roman" w:hAnsi="Arial Unicode MS" w:cs="Times New Roman"/>
      <w:color w:val="404040"/>
      <w:sz w:val="20"/>
      <w:szCs w:val="20"/>
    </w:rPr>
  </w:style>
  <w:style w:type="paragraph" w:styleId="Titre1">
    <w:name w:val="heading 1"/>
    <w:basedOn w:val="Normal"/>
    <w:next w:val="Normal"/>
    <w:link w:val="Titre1Car"/>
    <w:uiPriority w:val="9"/>
    <w:qFormat/>
    <w:rsid w:val="009B64CE"/>
    <w:pPr>
      <w:spacing w:before="240" w:after="0" w:line="360" w:lineRule="auto"/>
      <w:outlineLvl w:val="0"/>
    </w:pPr>
    <w:rPr>
      <w:rFonts w:eastAsia="Arial Unicode MS" w:cs="Arial Unicode MS"/>
      <w:b/>
      <w:bCs/>
      <w:iCs/>
      <w:color w:val="37A8DB"/>
      <w:sz w:val="32"/>
      <w:szCs w:val="28"/>
    </w:rPr>
  </w:style>
  <w:style w:type="paragraph" w:styleId="Titre2">
    <w:name w:val="heading 2"/>
    <w:basedOn w:val="Normal"/>
    <w:next w:val="Normal"/>
    <w:link w:val="Titre2Car"/>
    <w:uiPriority w:val="9"/>
    <w:unhideWhenUsed/>
    <w:qFormat/>
    <w:rsid w:val="009B64CE"/>
    <w:pPr>
      <w:spacing w:before="320" w:after="0" w:line="360" w:lineRule="auto"/>
      <w:outlineLvl w:val="1"/>
    </w:pPr>
    <w:rPr>
      <w:rFonts w:ascii="Cambria" w:eastAsia="Arial Unicode MS" w:hAnsi="Cambria" w:cs="Arial Unicode MS"/>
      <w:b/>
      <w:bCs/>
      <w:i/>
      <w:iCs/>
      <w:color w:val="37A8D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64CE"/>
    <w:rPr>
      <w:rFonts w:ascii="Arial Unicode MS" w:eastAsia="Arial Unicode MS" w:hAnsi="Arial Unicode MS" w:cs="Arial Unicode MS"/>
      <w:b/>
      <w:bCs/>
      <w:iCs/>
      <w:color w:val="37A8DB"/>
      <w:sz w:val="32"/>
      <w:szCs w:val="28"/>
    </w:rPr>
  </w:style>
  <w:style w:type="character" w:customStyle="1" w:styleId="Titre2Car">
    <w:name w:val="Titre 2 Car"/>
    <w:basedOn w:val="Policepardfaut"/>
    <w:link w:val="Titre2"/>
    <w:uiPriority w:val="9"/>
    <w:rsid w:val="009B64CE"/>
    <w:rPr>
      <w:rFonts w:ascii="Cambria" w:eastAsia="Arial Unicode MS" w:hAnsi="Cambria" w:cs="Arial Unicode MS"/>
      <w:b/>
      <w:bCs/>
      <w:i/>
      <w:iCs/>
      <w:color w:val="37A8DB"/>
      <w:sz w:val="28"/>
      <w:szCs w:val="28"/>
    </w:rPr>
  </w:style>
  <w:style w:type="character" w:styleId="Lienhypertexte">
    <w:name w:val="Hyperlink"/>
    <w:basedOn w:val="Policepardfaut"/>
    <w:rsid w:val="009B64CE"/>
    <w:rPr>
      <w:color w:val="0000FF"/>
      <w:u w:val="single"/>
    </w:rPr>
  </w:style>
  <w:style w:type="paragraph" w:styleId="En-tte">
    <w:name w:val="header"/>
    <w:basedOn w:val="Normal"/>
    <w:link w:val="En-tteCar"/>
    <w:rsid w:val="009B64CE"/>
    <w:pPr>
      <w:tabs>
        <w:tab w:val="center" w:pos="4536"/>
        <w:tab w:val="right" w:pos="9072"/>
      </w:tabs>
    </w:pPr>
  </w:style>
  <w:style w:type="character" w:customStyle="1" w:styleId="En-tteCar">
    <w:name w:val="En-tête Car"/>
    <w:basedOn w:val="Policepardfaut"/>
    <w:link w:val="En-tte"/>
    <w:rsid w:val="009B64CE"/>
    <w:rPr>
      <w:rFonts w:ascii="Arial Unicode MS" w:eastAsia="Times New Roman" w:hAnsi="Arial Unicode MS" w:cs="Times New Roman"/>
      <w:color w:val="404040"/>
      <w:sz w:val="20"/>
      <w:szCs w:val="20"/>
    </w:rPr>
  </w:style>
  <w:style w:type="paragraph" w:styleId="Pieddepage">
    <w:name w:val="footer"/>
    <w:basedOn w:val="Normal"/>
    <w:link w:val="PieddepageCar"/>
    <w:uiPriority w:val="99"/>
    <w:rsid w:val="009B64CE"/>
    <w:pPr>
      <w:tabs>
        <w:tab w:val="center" w:pos="4536"/>
        <w:tab w:val="right" w:pos="9072"/>
      </w:tabs>
    </w:pPr>
  </w:style>
  <w:style w:type="character" w:customStyle="1" w:styleId="PieddepageCar">
    <w:name w:val="Pied de page Car"/>
    <w:basedOn w:val="Policepardfaut"/>
    <w:link w:val="Pieddepage"/>
    <w:uiPriority w:val="99"/>
    <w:rsid w:val="009B64CE"/>
    <w:rPr>
      <w:rFonts w:ascii="Arial Unicode MS" w:eastAsia="Times New Roman" w:hAnsi="Arial Unicode MS" w:cs="Times New Roman"/>
      <w:color w:val="404040"/>
      <w:sz w:val="20"/>
      <w:szCs w:val="20"/>
    </w:rPr>
  </w:style>
  <w:style w:type="character" w:styleId="Numrodepage">
    <w:name w:val="page number"/>
    <w:basedOn w:val="Policepardfaut"/>
    <w:rsid w:val="009B64CE"/>
  </w:style>
  <w:style w:type="paragraph" w:styleId="Corpsdetexte">
    <w:name w:val="Body Text"/>
    <w:basedOn w:val="Normal"/>
    <w:link w:val="CorpsdetexteCar"/>
    <w:rsid w:val="009B64CE"/>
    <w:rPr>
      <w:rFonts w:ascii="Times New Roman" w:hAnsi="Times New Roman"/>
      <w:sz w:val="24"/>
    </w:rPr>
  </w:style>
  <w:style w:type="character" w:customStyle="1" w:styleId="CorpsdetexteCar">
    <w:name w:val="Corps de texte Car"/>
    <w:basedOn w:val="Policepardfaut"/>
    <w:link w:val="Corpsdetexte"/>
    <w:rsid w:val="009B64CE"/>
    <w:rPr>
      <w:rFonts w:ascii="Times New Roman" w:eastAsia="Times New Roman" w:hAnsi="Times New Roman" w:cs="Times New Roman"/>
      <w:color w:val="404040"/>
      <w:sz w:val="24"/>
      <w:szCs w:val="20"/>
    </w:rPr>
  </w:style>
  <w:style w:type="paragraph" w:styleId="Paragraphedeliste">
    <w:name w:val="List Paragraph"/>
    <w:basedOn w:val="Normal"/>
    <w:uiPriority w:val="34"/>
    <w:qFormat/>
    <w:rsid w:val="009B64CE"/>
    <w:pPr>
      <w:ind w:left="720"/>
      <w:contextualSpacing/>
    </w:pPr>
  </w:style>
  <w:style w:type="paragraph" w:styleId="Titre">
    <w:name w:val="Title"/>
    <w:basedOn w:val="Normal"/>
    <w:next w:val="Normal"/>
    <w:link w:val="TitreCar"/>
    <w:autoRedefine/>
    <w:uiPriority w:val="10"/>
    <w:qFormat/>
    <w:rsid w:val="009B64CE"/>
    <w:pPr>
      <w:spacing w:after="0"/>
      <w:jc w:val="center"/>
    </w:pPr>
    <w:rPr>
      <w:rFonts w:ascii="Gotham-Bold" w:eastAsia="+mn-ea" w:hAnsi="Gotham-Bold" w:cs="Gotham-Bold"/>
      <w:b/>
      <w:bCs/>
      <w:color w:val="37A8DB"/>
      <w:kern w:val="24"/>
      <w:sz w:val="52"/>
      <w:szCs w:val="52"/>
    </w:rPr>
  </w:style>
  <w:style w:type="character" w:customStyle="1" w:styleId="TitreCar">
    <w:name w:val="Titre Car"/>
    <w:basedOn w:val="Policepardfaut"/>
    <w:link w:val="Titre"/>
    <w:uiPriority w:val="10"/>
    <w:rsid w:val="009B64CE"/>
    <w:rPr>
      <w:rFonts w:ascii="Gotham-Bold" w:eastAsia="+mn-ea" w:hAnsi="Gotham-Bold" w:cs="Gotham-Bold"/>
      <w:b/>
      <w:bCs/>
      <w:color w:val="37A8DB"/>
      <w:kern w:val="24"/>
      <w:sz w:val="52"/>
      <w:szCs w:val="52"/>
    </w:rPr>
  </w:style>
  <w:style w:type="paragraph" w:styleId="Sous-titre">
    <w:name w:val="Subtitle"/>
    <w:basedOn w:val="Normal"/>
    <w:next w:val="Normal"/>
    <w:link w:val="Sous-titreCar"/>
    <w:autoRedefine/>
    <w:uiPriority w:val="11"/>
    <w:qFormat/>
    <w:rsid w:val="009B64CE"/>
    <w:pPr>
      <w:spacing w:line="440" w:lineRule="exact"/>
      <w:jc w:val="right"/>
      <w:textAlignment w:val="baseline"/>
    </w:pPr>
    <w:rPr>
      <w:rFonts w:ascii="Intro Regular" w:eastAsia="Arial Unicode MS" w:hAnsi="Intro Regular" w:cs="Arial Unicode MS"/>
      <w:b/>
      <w:color w:val="37A8DB"/>
      <w:kern w:val="24"/>
      <w:sz w:val="24"/>
      <w:szCs w:val="40"/>
    </w:rPr>
  </w:style>
  <w:style w:type="character" w:customStyle="1" w:styleId="Sous-titreCar">
    <w:name w:val="Sous-titre Car"/>
    <w:basedOn w:val="Policepardfaut"/>
    <w:link w:val="Sous-titre"/>
    <w:uiPriority w:val="11"/>
    <w:rsid w:val="009B64CE"/>
    <w:rPr>
      <w:rFonts w:ascii="Intro Regular" w:eastAsia="Arial Unicode MS" w:hAnsi="Intro Regular" w:cs="Arial Unicode MS"/>
      <w:b/>
      <w:color w:val="37A8DB"/>
      <w:kern w:val="24"/>
      <w:sz w:val="24"/>
      <w:szCs w:val="40"/>
    </w:rPr>
  </w:style>
  <w:style w:type="character" w:styleId="Lienhypertextesuivivisit">
    <w:name w:val="FollowedHyperlink"/>
    <w:basedOn w:val="Policepardfaut"/>
    <w:uiPriority w:val="99"/>
    <w:semiHidden/>
    <w:unhideWhenUsed/>
    <w:rsid w:val="009B6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bact.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oulin@urbact.e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bact.eu/sites/default/files/pm_v9_ready_for_the_apn_call.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urbact.eu/sites/default/files/u_iii_op_adopted_12_december_2014.pdf" TargetMode="External"/><Relationship Id="rId4" Type="http://schemas.openxmlformats.org/officeDocument/2006/relationships/webSettings" Target="webSettings.xml"/><Relationship Id="rId9" Type="http://schemas.openxmlformats.org/officeDocument/2006/relationships/hyperlink" Target="http://urbact.eu/secretaria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www.europe-en-nouvelle-aquitaine.eu/fr" TargetMode="External"/><Relationship Id="rId1" Type="http://schemas.openxmlformats.org/officeDocument/2006/relationships/hyperlink" Target="mailto:bureau-bruxelles@nouvelle-aquitain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1536</Words>
  <Characters>8453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Aquitaine</dc:creator>
  <cp:keywords/>
  <dc:description/>
  <cp:lastModifiedBy>David RADJI (Stagiaire)</cp:lastModifiedBy>
  <cp:revision>4</cp:revision>
  <dcterms:created xsi:type="dcterms:W3CDTF">2019-02-14T16:33:00Z</dcterms:created>
  <dcterms:modified xsi:type="dcterms:W3CDTF">2019-07-09T09:43:00Z</dcterms:modified>
</cp:coreProperties>
</file>